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5660" w14:textId="77777777" w:rsidR="00D26952" w:rsidRDefault="00D26952" w:rsidP="00D26952">
      <w:pPr>
        <w:spacing w:before="120" w:after="0"/>
        <w:rPr>
          <w:rFonts w:eastAsia="Times New Roman" w:cs="Arial"/>
          <w:b/>
          <w:sz w:val="18"/>
          <w:szCs w:val="18"/>
          <w:lang w:eastAsia="fr-FR"/>
        </w:rPr>
      </w:pPr>
    </w:p>
    <w:p w14:paraId="4ADDCE57" w14:textId="77777777" w:rsidR="00D26952" w:rsidRDefault="00D26952" w:rsidP="00D26952">
      <w:pPr>
        <w:spacing w:before="120" w:after="0"/>
        <w:rPr>
          <w:rFonts w:eastAsia="Times New Roman" w:cs="Arial"/>
          <w:b/>
          <w:sz w:val="18"/>
          <w:szCs w:val="18"/>
          <w:lang w:eastAsia="fr-FR"/>
        </w:rPr>
      </w:pPr>
    </w:p>
    <w:p w14:paraId="093CFC04" w14:textId="77777777" w:rsidR="00D26952" w:rsidRDefault="00D26952" w:rsidP="00D26952">
      <w:pPr>
        <w:spacing w:before="120" w:after="0"/>
        <w:rPr>
          <w:rFonts w:eastAsia="Times New Roman" w:cs="Arial"/>
          <w:b/>
          <w:sz w:val="18"/>
          <w:szCs w:val="18"/>
          <w:lang w:eastAsia="fr-FR"/>
        </w:rPr>
      </w:pPr>
    </w:p>
    <w:p w14:paraId="7D4EE657" w14:textId="3A41CC07" w:rsidR="00D26952" w:rsidRPr="00A14D12" w:rsidRDefault="00D26952" w:rsidP="00D26952">
      <w:pPr>
        <w:spacing w:before="120" w:after="0"/>
        <w:rPr>
          <w:rFonts w:eastAsia="Times New Roman" w:cs="Arial"/>
          <w:b/>
          <w:sz w:val="18"/>
          <w:szCs w:val="18"/>
          <w:lang w:eastAsia="fr-FR"/>
        </w:rPr>
      </w:pPr>
      <w:r w:rsidRPr="00A14D12">
        <w:rPr>
          <w:rFonts w:eastAsia="Times New Roman" w:cs="Arial"/>
          <w:b/>
          <w:sz w:val="18"/>
          <w:szCs w:val="18"/>
          <w:lang w:eastAsia="fr-FR"/>
        </w:rPr>
        <w:t>Délégation régionale GRAND OUEST</w:t>
      </w:r>
    </w:p>
    <w:p w14:paraId="56E791AA" w14:textId="4BA046C8" w:rsidR="00D26952" w:rsidRPr="00A14D12" w:rsidRDefault="00D26952" w:rsidP="00D26952">
      <w:pPr>
        <w:rPr>
          <w:rFonts w:eastAsia="Times New Roman" w:cs="Arial"/>
          <w:sz w:val="18"/>
          <w:szCs w:val="18"/>
          <w:lang w:eastAsia="fr-FR"/>
        </w:rPr>
      </w:pPr>
      <w:r w:rsidRPr="00A14D12">
        <w:rPr>
          <w:rFonts w:eastAsia="Times New Roman" w:cs="Arial"/>
          <w:sz w:val="18"/>
          <w:szCs w:val="18"/>
          <w:lang w:eastAsia="fr-FR"/>
        </w:rPr>
        <w:t>Décision n° 2025_U</w:t>
      </w:r>
      <w:r w:rsidRPr="00320CA5">
        <w:rPr>
          <w:rFonts w:eastAsia="Times New Roman" w:cs="Arial"/>
          <w:noProof/>
          <w:sz w:val="18"/>
          <w:szCs w:val="18"/>
          <w:lang w:eastAsia="fr-FR"/>
        </w:rPr>
        <w:t>1229</w:t>
      </w:r>
      <w:r w:rsidRPr="00A14D12">
        <w:rPr>
          <w:rFonts w:eastAsia="Times New Roman" w:cs="Arial"/>
          <w:sz w:val="18"/>
          <w:szCs w:val="18"/>
          <w:lang w:eastAsia="fr-FR"/>
        </w:rPr>
        <w:t>_00</w:t>
      </w:r>
      <w:r>
        <w:rPr>
          <w:rFonts w:eastAsia="Times New Roman" w:cs="Arial"/>
          <w:sz w:val="18"/>
          <w:szCs w:val="18"/>
          <w:lang w:eastAsia="fr-FR"/>
        </w:rPr>
        <w:t>4</w:t>
      </w:r>
      <w:r w:rsidRPr="00A14D12">
        <w:rPr>
          <w:rFonts w:eastAsia="Times New Roman" w:cs="Arial"/>
          <w:sz w:val="18"/>
          <w:szCs w:val="18"/>
          <w:lang w:eastAsia="fr-FR"/>
        </w:rPr>
        <w:t>– délégation de signature gestion financière</w:t>
      </w:r>
    </w:p>
    <w:p w14:paraId="08A4863E" w14:textId="77777777" w:rsidR="00D26952" w:rsidRPr="00A14D12" w:rsidRDefault="00D26952" w:rsidP="00D26952">
      <w:pPr>
        <w:spacing w:after="0" w:line="240" w:lineRule="auto"/>
      </w:pPr>
    </w:p>
    <w:p w14:paraId="2ABEA3E9" w14:textId="77777777" w:rsidR="00D26952" w:rsidRPr="00A14D12" w:rsidRDefault="00D26952" w:rsidP="00D26952">
      <w:pPr>
        <w:spacing w:after="0" w:line="240" w:lineRule="auto"/>
        <w:jc w:val="center"/>
        <w:rPr>
          <w:rFonts w:eastAsia="Calibri" w:cs="Arial"/>
          <w:b/>
          <w:color w:val="auto"/>
        </w:rPr>
      </w:pPr>
      <w:r w:rsidRPr="00A14D12">
        <w:rPr>
          <w:rFonts w:eastAsia="Calibri" w:cs="Arial"/>
          <w:b/>
          <w:color w:val="auto"/>
        </w:rPr>
        <w:t>LE DELEGUE REGIONAL</w:t>
      </w:r>
    </w:p>
    <w:p w14:paraId="6EA2DBA3" w14:textId="77777777" w:rsidR="00D26952" w:rsidRPr="00A14D12" w:rsidRDefault="00D26952" w:rsidP="00D26952">
      <w:pPr>
        <w:spacing w:after="0" w:line="240" w:lineRule="auto"/>
        <w:rPr>
          <w:rFonts w:eastAsia="Times New Roman" w:cs="Arial"/>
          <w:color w:val="auto"/>
          <w:sz w:val="20"/>
          <w:szCs w:val="20"/>
          <w:lang w:val="it-IT" w:eastAsia="fr-FR"/>
        </w:rPr>
      </w:pPr>
    </w:p>
    <w:p w14:paraId="78D0ECAE" w14:textId="77777777" w:rsidR="00D26952" w:rsidRPr="00A14D12" w:rsidRDefault="00D26952" w:rsidP="00D26952">
      <w:pPr>
        <w:spacing w:after="0" w:line="240" w:lineRule="auto"/>
        <w:rPr>
          <w:rFonts w:eastAsia="Times New Roman" w:cs="Arial"/>
          <w:color w:val="auto"/>
          <w:sz w:val="20"/>
          <w:szCs w:val="20"/>
          <w:lang w:val="it-IT" w:eastAsia="fr-FR"/>
        </w:rPr>
      </w:pPr>
    </w:p>
    <w:p w14:paraId="0214C1C8"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Times New Roman" w:cs="Arial"/>
          <w:b/>
          <w:bCs/>
          <w:color w:val="auto"/>
          <w:sz w:val="18"/>
          <w:szCs w:val="18"/>
          <w:lang w:eastAsia="fr-FR"/>
        </w:rPr>
        <w:t>Vu le code de la recherche</w:t>
      </w:r>
      <w:r w:rsidRPr="00A14D12">
        <w:rPr>
          <w:rFonts w:eastAsia="Times New Roman" w:cs="Arial"/>
          <w:color w:val="auto"/>
          <w:sz w:val="18"/>
          <w:szCs w:val="18"/>
          <w:lang w:eastAsia="fr-FR"/>
        </w:rPr>
        <w:t> ;</w:t>
      </w:r>
    </w:p>
    <w:p w14:paraId="715ABECA" w14:textId="77777777" w:rsidR="00D26952" w:rsidRPr="00A14D12" w:rsidRDefault="00D26952" w:rsidP="00D26952">
      <w:pPr>
        <w:spacing w:after="0" w:line="240" w:lineRule="auto"/>
        <w:jc w:val="center"/>
        <w:rPr>
          <w:rFonts w:eastAsia="Arial Unicode MS" w:cs="Arial"/>
          <w:color w:val="auto"/>
          <w:sz w:val="18"/>
          <w:szCs w:val="18"/>
          <w:lang w:eastAsia="fr-FR"/>
        </w:rPr>
      </w:pPr>
    </w:p>
    <w:p w14:paraId="415640DF"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Times New Roman" w:cs="Arial"/>
          <w:b/>
          <w:bCs/>
          <w:color w:val="auto"/>
          <w:sz w:val="18"/>
          <w:szCs w:val="18"/>
          <w:lang w:eastAsia="fr-FR"/>
        </w:rPr>
        <w:t>Vu le code général de la fonction publique</w:t>
      </w:r>
    </w:p>
    <w:p w14:paraId="250394BD"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Times New Roman" w:cs="Arial"/>
          <w:color w:val="auto"/>
          <w:sz w:val="18"/>
          <w:szCs w:val="18"/>
          <w:lang w:eastAsia="fr-FR"/>
        </w:rPr>
        <w:t>et ses textes d’application ;</w:t>
      </w:r>
    </w:p>
    <w:p w14:paraId="156DD574" w14:textId="77777777" w:rsidR="00D26952" w:rsidRPr="00A14D12" w:rsidRDefault="00D26952" w:rsidP="00D26952">
      <w:pPr>
        <w:spacing w:after="0" w:line="240" w:lineRule="auto"/>
        <w:jc w:val="center"/>
        <w:rPr>
          <w:rFonts w:eastAsia="Times New Roman" w:cs="Arial"/>
          <w:color w:val="auto"/>
          <w:sz w:val="18"/>
          <w:szCs w:val="18"/>
          <w:lang w:eastAsia="fr-FR"/>
        </w:rPr>
      </w:pPr>
    </w:p>
    <w:p w14:paraId="31A27EDC"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Times New Roman" w:cs="Arial"/>
          <w:b/>
          <w:color w:val="auto"/>
          <w:sz w:val="18"/>
          <w:szCs w:val="18"/>
          <w:lang w:eastAsia="fr-FR"/>
        </w:rPr>
        <w:t>Vu le code de la commande publique</w:t>
      </w:r>
      <w:r w:rsidRPr="00A14D12">
        <w:rPr>
          <w:rFonts w:eastAsia="Times New Roman" w:cs="Arial"/>
          <w:color w:val="auto"/>
          <w:sz w:val="18"/>
          <w:szCs w:val="18"/>
          <w:lang w:eastAsia="fr-FR"/>
        </w:rPr>
        <w:t> ;</w:t>
      </w:r>
    </w:p>
    <w:p w14:paraId="41E98ED8" w14:textId="77777777" w:rsidR="00D26952" w:rsidRPr="00A14D12" w:rsidRDefault="00D26952" w:rsidP="00D26952">
      <w:pPr>
        <w:spacing w:after="0" w:line="240" w:lineRule="auto"/>
        <w:jc w:val="center"/>
        <w:rPr>
          <w:rFonts w:eastAsia="Times New Roman" w:cs="Arial"/>
          <w:color w:val="auto"/>
          <w:sz w:val="18"/>
          <w:szCs w:val="18"/>
          <w:lang w:eastAsia="fr-FR"/>
        </w:rPr>
      </w:pPr>
    </w:p>
    <w:p w14:paraId="3819D4E7" w14:textId="77777777" w:rsidR="00D26952" w:rsidRPr="00A14D12" w:rsidRDefault="00D26952" w:rsidP="00D26952">
      <w:pPr>
        <w:spacing w:after="0" w:line="240" w:lineRule="auto"/>
        <w:jc w:val="center"/>
        <w:rPr>
          <w:rFonts w:eastAsia="Arial Unicode MS" w:cs="Arial"/>
          <w:b/>
          <w:color w:val="auto"/>
          <w:sz w:val="18"/>
          <w:szCs w:val="18"/>
          <w:lang w:eastAsia="fr-FR"/>
        </w:rPr>
      </w:pPr>
      <w:r w:rsidRPr="00A14D12">
        <w:rPr>
          <w:rFonts w:eastAsia="Arial Unicode MS" w:cs="Arial"/>
          <w:b/>
          <w:color w:val="auto"/>
          <w:sz w:val="18"/>
          <w:szCs w:val="18"/>
          <w:lang w:eastAsia="fr-FR"/>
        </w:rPr>
        <w:t>Vu le décret n° 86-83 du 17 janvier 1986 modifié</w:t>
      </w:r>
    </w:p>
    <w:p w14:paraId="520972FD"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Times New Roman" w:cs="Arial"/>
          <w:color w:val="auto"/>
          <w:sz w:val="18"/>
          <w:szCs w:val="18"/>
          <w:lang w:eastAsia="fr-FR"/>
        </w:rPr>
        <w:t>relatif aux dispositions générales applicables aux agents contractuels de l’Etat ;</w:t>
      </w:r>
    </w:p>
    <w:p w14:paraId="4F8D4247" w14:textId="77777777" w:rsidR="00D26952" w:rsidRPr="00A14D12" w:rsidRDefault="00D26952" w:rsidP="00D26952">
      <w:pPr>
        <w:spacing w:after="0" w:line="240" w:lineRule="auto"/>
        <w:jc w:val="center"/>
        <w:rPr>
          <w:rFonts w:eastAsia="Times New Roman" w:cs="Arial"/>
          <w:color w:val="auto"/>
          <w:sz w:val="18"/>
          <w:szCs w:val="18"/>
          <w:lang w:eastAsia="fr-FR"/>
        </w:rPr>
      </w:pPr>
    </w:p>
    <w:p w14:paraId="79348CFC" w14:textId="77777777" w:rsidR="00D26952" w:rsidRPr="00A14D12" w:rsidRDefault="00D26952" w:rsidP="00D26952">
      <w:pPr>
        <w:spacing w:after="0" w:line="240" w:lineRule="auto"/>
        <w:jc w:val="center"/>
        <w:rPr>
          <w:rFonts w:eastAsia="Arial Unicode MS" w:cs="Arial"/>
          <w:b/>
          <w:color w:val="auto"/>
          <w:sz w:val="18"/>
          <w:szCs w:val="18"/>
          <w:lang w:eastAsia="fr-FR"/>
        </w:rPr>
      </w:pPr>
      <w:r w:rsidRPr="00A14D12">
        <w:rPr>
          <w:rFonts w:eastAsia="Arial Unicode MS" w:cs="Arial"/>
          <w:b/>
          <w:color w:val="auto"/>
          <w:sz w:val="18"/>
          <w:szCs w:val="18"/>
          <w:lang w:eastAsia="fr-FR"/>
        </w:rPr>
        <w:t>Vu le décret n° 2012-1246 du 7 novembre 2012 modifié</w:t>
      </w:r>
    </w:p>
    <w:p w14:paraId="70118EAA"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Times New Roman" w:cs="Arial"/>
          <w:color w:val="auto"/>
          <w:sz w:val="18"/>
          <w:szCs w:val="18"/>
          <w:lang w:eastAsia="fr-FR"/>
        </w:rPr>
        <w:t>relatif à la gestion budgétaire et comptable publique ;</w:t>
      </w:r>
    </w:p>
    <w:p w14:paraId="6C9AF7FB" w14:textId="77777777" w:rsidR="00D26952" w:rsidRPr="00A14D12" w:rsidRDefault="00D26952" w:rsidP="00D26952">
      <w:pPr>
        <w:spacing w:after="0" w:line="240" w:lineRule="auto"/>
        <w:jc w:val="center"/>
        <w:rPr>
          <w:rFonts w:eastAsia="Times New Roman" w:cs="Arial"/>
          <w:color w:val="auto"/>
          <w:sz w:val="18"/>
          <w:szCs w:val="18"/>
          <w:lang w:eastAsia="fr-FR"/>
        </w:rPr>
      </w:pPr>
    </w:p>
    <w:p w14:paraId="10284B80" w14:textId="77777777" w:rsidR="00D26952" w:rsidRPr="00A14D12" w:rsidRDefault="00D26952" w:rsidP="00D26952">
      <w:pPr>
        <w:spacing w:after="0" w:line="240" w:lineRule="auto"/>
        <w:jc w:val="center"/>
        <w:rPr>
          <w:rFonts w:eastAsia="Arial Unicode MS" w:cs="Arial"/>
          <w:b/>
          <w:color w:val="auto"/>
          <w:sz w:val="18"/>
          <w:szCs w:val="18"/>
          <w:lang w:eastAsia="fr-FR"/>
        </w:rPr>
      </w:pPr>
      <w:r w:rsidRPr="00A14D12">
        <w:rPr>
          <w:rFonts w:eastAsia="Arial Unicode MS" w:cs="Arial"/>
          <w:b/>
          <w:color w:val="auto"/>
          <w:sz w:val="18"/>
          <w:szCs w:val="18"/>
          <w:lang w:eastAsia="fr-FR"/>
        </w:rPr>
        <w:t>Vu l’ordonnance n° 2022-408 du 23 mars 2022</w:t>
      </w:r>
    </w:p>
    <w:p w14:paraId="74E535F4"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Times New Roman" w:cs="Arial"/>
          <w:color w:val="auto"/>
          <w:sz w:val="18"/>
          <w:szCs w:val="18"/>
          <w:lang w:eastAsia="fr-FR"/>
        </w:rPr>
        <w:t>relative au régime de responsabilité financière des gestionnaires publics ;</w:t>
      </w:r>
    </w:p>
    <w:p w14:paraId="1853C449" w14:textId="77777777" w:rsidR="00D26952" w:rsidRPr="00A14D12" w:rsidRDefault="00D26952" w:rsidP="00D26952">
      <w:pPr>
        <w:spacing w:after="0" w:line="240" w:lineRule="auto"/>
        <w:jc w:val="center"/>
        <w:rPr>
          <w:rFonts w:eastAsia="Times New Roman" w:cs="Arial"/>
          <w:color w:val="auto"/>
          <w:sz w:val="18"/>
          <w:szCs w:val="18"/>
          <w:lang w:eastAsia="fr-FR"/>
        </w:rPr>
      </w:pPr>
    </w:p>
    <w:p w14:paraId="609DD4B2"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décision Inserm n° DAJ2025-099</w:t>
      </w:r>
    </w:p>
    <w:p w14:paraId="21F5A900" w14:textId="77777777" w:rsidR="00D26952" w:rsidRPr="00A14D12" w:rsidRDefault="00D26952" w:rsidP="00D26952">
      <w:pPr>
        <w:spacing w:after="0" w:line="240" w:lineRule="auto"/>
        <w:jc w:val="center"/>
        <w:rPr>
          <w:rFonts w:eastAsia="Times New Roman" w:cs="Arial"/>
          <w:color w:val="auto"/>
          <w:sz w:val="18"/>
          <w:szCs w:val="18"/>
          <w:lang w:eastAsia="fr-FR"/>
        </w:rPr>
      </w:pPr>
      <w:r w:rsidRPr="00A14D12">
        <w:rPr>
          <w:rFonts w:eastAsia="Calibri" w:cs="Arial"/>
          <w:color w:val="auto"/>
          <w:sz w:val="18"/>
          <w:szCs w:val="18"/>
        </w:rPr>
        <w:t>portant organisation et politique achat de l’Inserm ;</w:t>
      </w:r>
    </w:p>
    <w:p w14:paraId="686133E6" w14:textId="77777777" w:rsidR="00D26952" w:rsidRPr="00A14D12" w:rsidRDefault="00D26952" w:rsidP="00D26952">
      <w:pPr>
        <w:spacing w:after="0" w:line="240" w:lineRule="auto"/>
        <w:jc w:val="center"/>
        <w:rPr>
          <w:rFonts w:eastAsia="Times New Roman" w:cs="Arial"/>
          <w:color w:val="auto"/>
          <w:sz w:val="18"/>
          <w:szCs w:val="18"/>
          <w:lang w:eastAsia="fr-FR"/>
        </w:rPr>
      </w:pPr>
    </w:p>
    <w:p w14:paraId="7410E2A8"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décision Inserm n° DAJ2024-125 du 1</w:t>
      </w:r>
      <w:r w:rsidRPr="00A14D12">
        <w:rPr>
          <w:rFonts w:eastAsia="Calibri" w:cs="Arial"/>
          <w:b/>
          <w:color w:val="auto"/>
          <w:sz w:val="18"/>
          <w:szCs w:val="18"/>
          <w:vertAlign w:val="superscript"/>
        </w:rPr>
        <w:t>er</w:t>
      </w:r>
      <w:r w:rsidRPr="00A14D12">
        <w:rPr>
          <w:rFonts w:eastAsia="Calibri" w:cs="Arial"/>
          <w:b/>
          <w:color w:val="auto"/>
          <w:sz w:val="18"/>
          <w:szCs w:val="18"/>
        </w:rPr>
        <w:t xml:space="preserve"> janvier 2024</w:t>
      </w:r>
    </w:p>
    <w:p w14:paraId="46D43AA5"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relative aux rôles et compétences des délégués régionaux ;</w:t>
      </w:r>
    </w:p>
    <w:p w14:paraId="56DAB045" w14:textId="77777777" w:rsidR="00D26952" w:rsidRPr="00A14D12" w:rsidRDefault="00D26952" w:rsidP="00D26952">
      <w:pPr>
        <w:spacing w:after="0" w:line="240" w:lineRule="auto"/>
        <w:jc w:val="center"/>
        <w:rPr>
          <w:rFonts w:eastAsia="Calibri" w:cs="Arial"/>
          <w:color w:val="auto"/>
          <w:sz w:val="18"/>
          <w:szCs w:val="18"/>
        </w:rPr>
      </w:pPr>
    </w:p>
    <w:p w14:paraId="1EA9293A"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décision Inserm n° DAJ2024-154 du 1</w:t>
      </w:r>
      <w:r w:rsidRPr="00A14D12">
        <w:rPr>
          <w:rFonts w:eastAsia="Calibri" w:cs="Arial"/>
          <w:b/>
          <w:color w:val="auto"/>
          <w:sz w:val="18"/>
          <w:szCs w:val="18"/>
          <w:vertAlign w:val="superscript"/>
        </w:rPr>
        <w:t>er</w:t>
      </w:r>
      <w:r w:rsidRPr="00A14D12">
        <w:rPr>
          <w:rFonts w:eastAsia="Calibri" w:cs="Arial"/>
          <w:b/>
          <w:color w:val="auto"/>
          <w:sz w:val="18"/>
          <w:szCs w:val="18"/>
        </w:rPr>
        <w:t xml:space="preserve"> mars 2024 modifiée</w:t>
      </w:r>
    </w:p>
    <w:p w14:paraId="5A9F4799"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accordant délégation de pouvoirs aux délégués régionaux ;</w:t>
      </w:r>
    </w:p>
    <w:p w14:paraId="2B8A94E5" w14:textId="77777777" w:rsidR="00D26952" w:rsidRPr="00A14D12" w:rsidRDefault="00D26952" w:rsidP="00D26952">
      <w:pPr>
        <w:spacing w:after="0" w:line="240" w:lineRule="auto"/>
        <w:jc w:val="center"/>
        <w:rPr>
          <w:rFonts w:eastAsia="Times New Roman" w:cs="Arial"/>
          <w:color w:val="auto"/>
          <w:sz w:val="18"/>
          <w:szCs w:val="18"/>
          <w:lang w:eastAsia="fr-FR"/>
        </w:rPr>
      </w:pPr>
    </w:p>
    <w:p w14:paraId="7E7EE6A3"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décision Inserm n° DAJ2021-166 du 1</w:t>
      </w:r>
      <w:r w:rsidRPr="00A14D12">
        <w:rPr>
          <w:rFonts w:eastAsia="Calibri" w:cs="Arial"/>
          <w:b/>
          <w:color w:val="auto"/>
          <w:sz w:val="18"/>
          <w:szCs w:val="18"/>
          <w:vertAlign w:val="superscript"/>
        </w:rPr>
        <w:t>er</w:t>
      </w:r>
      <w:r w:rsidRPr="00A14D12">
        <w:rPr>
          <w:rFonts w:eastAsia="Calibri" w:cs="Arial"/>
          <w:b/>
          <w:color w:val="auto"/>
          <w:sz w:val="18"/>
          <w:szCs w:val="18"/>
        </w:rPr>
        <w:t xml:space="preserve"> juillet 2021</w:t>
      </w:r>
    </w:p>
    <w:p w14:paraId="6562E610"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relative aux nouvelles appellations des délégations régionales ;</w:t>
      </w:r>
    </w:p>
    <w:p w14:paraId="1E20CE8E" w14:textId="77777777" w:rsidR="00D26952" w:rsidRPr="00A14D12" w:rsidRDefault="00D26952" w:rsidP="00D26952">
      <w:pPr>
        <w:spacing w:after="0" w:line="240" w:lineRule="auto"/>
        <w:jc w:val="center"/>
        <w:rPr>
          <w:rFonts w:eastAsia="Calibri" w:cs="Arial"/>
          <w:color w:val="auto"/>
          <w:sz w:val="18"/>
          <w:szCs w:val="18"/>
        </w:rPr>
      </w:pPr>
    </w:p>
    <w:p w14:paraId="6BA0CFC9"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délibération du Conseil d’administration du 22 juin 2023</w:t>
      </w:r>
    </w:p>
    <w:p w14:paraId="135046B0"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relative à la modification des plafonds de prise en charge directe par l’Inserm des frais d’hébergement des agents en mission en France ;</w:t>
      </w:r>
    </w:p>
    <w:p w14:paraId="09B47A60" w14:textId="77777777" w:rsidR="00D26952" w:rsidRPr="00A14D12" w:rsidRDefault="00D26952" w:rsidP="00D26952">
      <w:pPr>
        <w:spacing w:after="0" w:line="240" w:lineRule="auto"/>
        <w:jc w:val="center"/>
        <w:rPr>
          <w:rFonts w:eastAsia="Calibri" w:cs="Arial"/>
          <w:color w:val="auto"/>
          <w:sz w:val="18"/>
          <w:szCs w:val="18"/>
        </w:rPr>
      </w:pPr>
    </w:p>
    <w:p w14:paraId="6BC75D55"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note DAF-2024/SA/JMB/DAF/46 et son annexe 1</w:t>
      </w:r>
    </w:p>
    <w:p w14:paraId="5A548960"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portant conditions de règlement par l’Inserm des frais occasionnés par les déplacements temporaires ;</w:t>
      </w:r>
    </w:p>
    <w:p w14:paraId="78271FAF" w14:textId="77777777" w:rsidR="00D26952" w:rsidRPr="00A14D12" w:rsidRDefault="00D26952" w:rsidP="00D26952">
      <w:pPr>
        <w:spacing w:after="0" w:line="240" w:lineRule="auto"/>
        <w:jc w:val="center"/>
        <w:rPr>
          <w:rFonts w:eastAsia="Calibri" w:cs="Arial"/>
          <w:color w:val="auto"/>
          <w:sz w:val="18"/>
          <w:szCs w:val="18"/>
        </w:rPr>
      </w:pPr>
    </w:p>
    <w:p w14:paraId="0FF7676D"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décision Inserm n° DAJ2024-129 du 1</w:t>
      </w:r>
      <w:r w:rsidRPr="00A14D12">
        <w:rPr>
          <w:rFonts w:eastAsia="Calibri" w:cs="Arial"/>
          <w:b/>
          <w:color w:val="auto"/>
          <w:sz w:val="18"/>
          <w:szCs w:val="18"/>
          <w:vertAlign w:val="superscript"/>
        </w:rPr>
        <w:t>er</w:t>
      </w:r>
      <w:r w:rsidRPr="00A14D12">
        <w:rPr>
          <w:rFonts w:eastAsia="Calibri" w:cs="Arial"/>
          <w:b/>
          <w:color w:val="auto"/>
          <w:sz w:val="18"/>
          <w:szCs w:val="18"/>
        </w:rPr>
        <w:t xml:space="preserve"> janvier 2024</w:t>
      </w:r>
    </w:p>
    <w:p w14:paraId="214774FA"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nommant Monsieur Frédéric DELALEU délégué régional et ordonnateur secondaire</w:t>
      </w:r>
      <w:r w:rsidRPr="00A14D12">
        <w:t xml:space="preserve"> </w:t>
      </w:r>
      <w:r w:rsidRPr="00A14D12">
        <w:rPr>
          <w:rFonts w:eastAsia="Calibri" w:cs="Arial"/>
          <w:color w:val="auto"/>
          <w:sz w:val="18"/>
          <w:szCs w:val="18"/>
        </w:rPr>
        <w:t>de la délégation régionale GRAND OUEST de l’Inserm ;</w:t>
      </w:r>
    </w:p>
    <w:p w14:paraId="4D5F4D06" w14:textId="77777777" w:rsidR="00D26952" w:rsidRPr="00A14D12" w:rsidRDefault="00D26952" w:rsidP="00D26952">
      <w:pPr>
        <w:spacing w:after="0" w:line="240" w:lineRule="auto"/>
        <w:jc w:val="center"/>
        <w:rPr>
          <w:rFonts w:eastAsia="Calibri" w:cs="Arial"/>
          <w:color w:val="auto"/>
          <w:sz w:val="18"/>
          <w:szCs w:val="18"/>
        </w:rPr>
      </w:pPr>
    </w:p>
    <w:p w14:paraId="5C1AAD7A"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décision Inserm n° DAJ</w:t>
      </w:r>
      <w:r>
        <w:rPr>
          <w:rFonts w:eastAsia="Calibri" w:cs="Arial"/>
          <w:b/>
          <w:color w:val="auto"/>
          <w:sz w:val="18"/>
          <w:szCs w:val="18"/>
        </w:rPr>
        <w:t xml:space="preserve">  </w:t>
      </w:r>
      <w:r w:rsidRPr="00A14D12">
        <w:rPr>
          <w:rFonts w:eastAsia="Calibri" w:cs="Arial"/>
          <w:b/>
          <w:color w:val="auto"/>
          <w:sz w:val="18"/>
          <w:szCs w:val="18"/>
        </w:rPr>
        <w:t xml:space="preserve">du </w:t>
      </w:r>
      <w:r w:rsidRPr="00320CA5">
        <w:rPr>
          <w:rFonts w:eastAsia="Calibri" w:cs="Arial"/>
          <w:b/>
          <w:noProof/>
          <w:color w:val="auto"/>
          <w:sz w:val="18"/>
          <w:szCs w:val="18"/>
        </w:rPr>
        <w:t>1/1/2022</w:t>
      </w:r>
    </w:p>
    <w:p w14:paraId="067E1A69"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 xml:space="preserve">portant </w:t>
      </w:r>
      <w:r w:rsidRPr="00320CA5">
        <w:rPr>
          <w:rFonts w:eastAsia="Calibri" w:cs="Arial"/>
          <w:noProof/>
          <w:color w:val="auto"/>
          <w:sz w:val="18"/>
          <w:szCs w:val="18"/>
        </w:rPr>
        <w:t>renouvellement</w:t>
      </w:r>
      <w:r w:rsidRPr="00A14D12">
        <w:rPr>
          <w:rFonts w:eastAsia="Calibri" w:cs="Arial"/>
          <w:color w:val="auto"/>
          <w:sz w:val="18"/>
          <w:szCs w:val="18"/>
        </w:rPr>
        <w:t xml:space="preserve"> de l’Unité </w:t>
      </w:r>
      <w:r w:rsidRPr="00320CA5">
        <w:rPr>
          <w:rFonts w:eastAsia="Calibri" w:cs="Arial"/>
          <w:noProof/>
          <w:color w:val="auto"/>
          <w:sz w:val="18"/>
          <w:szCs w:val="18"/>
        </w:rPr>
        <w:t>1229</w:t>
      </w:r>
      <w:r w:rsidRPr="00A14D12">
        <w:rPr>
          <w:rFonts w:eastAsia="Calibri" w:cs="Arial"/>
          <w:color w:val="auto"/>
          <w:sz w:val="18"/>
          <w:szCs w:val="18"/>
        </w:rPr>
        <w:t xml:space="preserve"> et nomination de </w:t>
      </w:r>
      <w:r w:rsidRPr="00320CA5">
        <w:rPr>
          <w:rFonts w:eastAsia="Calibri" w:cs="Arial"/>
          <w:noProof/>
          <w:color w:val="auto"/>
          <w:sz w:val="18"/>
          <w:szCs w:val="18"/>
        </w:rPr>
        <w:t>son</w:t>
      </w:r>
      <w:r>
        <w:rPr>
          <w:rFonts w:eastAsia="Calibri" w:cs="Arial"/>
          <w:color w:val="auto"/>
          <w:sz w:val="18"/>
          <w:szCs w:val="18"/>
        </w:rPr>
        <w:t xml:space="preserve"> </w:t>
      </w:r>
      <w:r w:rsidRPr="00320CA5">
        <w:rPr>
          <w:rFonts w:eastAsia="Calibri" w:cs="Arial"/>
          <w:noProof/>
          <w:color w:val="auto"/>
          <w:sz w:val="18"/>
          <w:szCs w:val="18"/>
        </w:rPr>
        <w:t>Directeur</w:t>
      </w:r>
      <w:r w:rsidRPr="00A14D12">
        <w:rPr>
          <w:rFonts w:eastAsia="Calibri" w:cs="Arial"/>
          <w:color w:val="auto"/>
          <w:sz w:val="18"/>
          <w:szCs w:val="18"/>
        </w:rPr>
        <w:t>,</w:t>
      </w:r>
      <w:r>
        <w:rPr>
          <w:rFonts w:eastAsia="Calibri" w:cs="Arial"/>
          <w:color w:val="auto"/>
          <w:sz w:val="18"/>
          <w:szCs w:val="18"/>
        </w:rPr>
        <w:t xml:space="preserve"> </w:t>
      </w:r>
      <w:r w:rsidRPr="00320CA5">
        <w:rPr>
          <w:rFonts w:eastAsia="Calibri" w:cs="Arial"/>
          <w:noProof/>
          <w:color w:val="auto"/>
          <w:sz w:val="18"/>
          <w:szCs w:val="18"/>
        </w:rPr>
        <w:t>M.</w:t>
      </w:r>
      <w:r w:rsidRPr="003A4C87">
        <w:rPr>
          <w:rFonts w:eastAsia="Calibri" w:cs="Arial"/>
          <w:color w:val="auto"/>
          <w:sz w:val="18"/>
          <w:szCs w:val="18"/>
        </w:rPr>
        <w:t xml:space="preserve"> </w:t>
      </w:r>
      <w:r>
        <w:rPr>
          <w:rFonts w:eastAsia="Calibri" w:cs="Arial"/>
          <w:color w:val="auto"/>
          <w:sz w:val="18"/>
          <w:szCs w:val="18"/>
        </w:rPr>
        <w:t xml:space="preserve"> </w:t>
      </w:r>
      <w:r w:rsidRPr="00320CA5">
        <w:rPr>
          <w:rFonts w:eastAsia="Calibri" w:cs="Arial"/>
          <w:noProof/>
          <w:color w:val="auto"/>
          <w:sz w:val="18"/>
          <w:szCs w:val="18"/>
        </w:rPr>
        <w:t>Jérôme</w:t>
      </w:r>
      <w:r>
        <w:rPr>
          <w:rFonts w:eastAsia="Calibri" w:cs="Arial"/>
          <w:color w:val="auto"/>
          <w:sz w:val="18"/>
          <w:szCs w:val="18"/>
        </w:rPr>
        <w:t xml:space="preserve"> </w:t>
      </w:r>
      <w:r w:rsidRPr="00320CA5">
        <w:rPr>
          <w:rFonts w:eastAsia="Calibri" w:cs="Arial"/>
          <w:noProof/>
          <w:color w:val="auto"/>
          <w:sz w:val="18"/>
          <w:szCs w:val="18"/>
        </w:rPr>
        <w:t>GUICHEUX</w:t>
      </w:r>
      <w:r w:rsidRPr="00A14D12">
        <w:rPr>
          <w:rFonts w:eastAsia="Calibri" w:cs="Arial"/>
          <w:color w:val="auto"/>
          <w:sz w:val="18"/>
          <w:szCs w:val="18"/>
        </w:rPr>
        <w:t>;</w:t>
      </w:r>
    </w:p>
    <w:p w14:paraId="2EC7CFA4" w14:textId="77777777" w:rsidR="00D26952" w:rsidRPr="00A14D12" w:rsidRDefault="00D26952" w:rsidP="00D26952">
      <w:pPr>
        <w:spacing w:after="0" w:line="240" w:lineRule="auto"/>
        <w:jc w:val="center"/>
        <w:rPr>
          <w:rFonts w:eastAsia="Calibri" w:cs="Arial"/>
          <w:color w:val="auto"/>
          <w:sz w:val="18"/>
          <w:szCs w:val="18"/>
        </w:rPr>
      </w:pPr>
    </w:p>
    <w:p w14:paraId="42758179" w14:textId="77777777" w:rsidR="00D26952" w:rsidRPr="00A14D12" w:rsidRDefault="00D26952" w:rsidP="00D26952">
      <w:pPr>
        <w:spacing w:after="0" w:line="240" w:lineRule="auto"/>
        <w:jc w:val="center"/>
        <w:rPr>
          <w:rFonts w:eastAsia="Calibri" w:cs="Arial"/>
          <w:b/>
          <w:color w:val="auto"/>
          <w:sz w:val="18"/>
          <w:szCs w:val="18"/>
        </w:rPr>
      </w:pPr>
      <w:r w:rsidRPr="00A14D12">
        <w:rPr>
          <w:rFonts w:eastAsia="Calibri" w:cs="Arial"/>
          <w:b/>
          <w:color w:val="auto"/>
          <w:sz w:val="18"/>
          <w:szCs w:val="18"/>
        </w:rPr>
        <w:t>Vu la décision Inserm n° DR 2025_U</w:t>
      </w:r>
      <w:r w:rsidRPr="00320CA5">
        <w:rPr>
          <w:rFonts w:eastAsia="Calibri" w:cs="Arial"/>
          <w:b/>
          <w:noProof/>
          <w:color w:val="auto"/>
          <w:sz w:val="18"/>
          <w:szCs w:val="18"/>
        </w:rPr>
        <w:t>1229</w:t>
      </w:r>
      <w:r w:rsidRPr="00A14D12">
        <w:rPr>
          <w:rFonts w:eastAsia="Calibri" w:cs="Arial"/>
          <w:b/>
          <w:color w:val="auto"/>
          <w:sz w:val="18"/>
          <w:szCs w:val="18"/>
        </w:rPr>
        <w:t>_001 du 01/01/2025</w:t>
      </w:r>
    </w:p>
    <w:p w14:paraId="30F4CFF5" w14:textId="77777777" w:rsidR="00D26952" w:rsidRPr="00A14D12" w:rsidRDefault="00D26952" w:rsidP="00D26952">
      <w:pPr>
        <w:spacing w:after="0" w:line="240" w:lineRule="auto"/>
        <w:jc w:val="center"/>
        <w:rPr>
          <w:rFonts w:eastAsia="Calibri" w:cs="Arial"/>
          <w:color w:val="auto"/>
          <w:sz w:val="18"/>
          <w:szCs w:val="18"/>
        </w:rPr>
      </w:pPr>
      <w:r w:rsidRPr="00A14D12">
        <w:rPr>
          <w:rFonts w:eastAsia="Calibri" w:cs="Arial"/>
          <w:color w:val="auto"/>
          <w:sz w:val="18"/>
          <w:szCs w:val="18"/>
        </w:rPr>
        <w:t xml:space="preserve">accordant délégation de signature à </w:t>
      </w:r>
      <w:r w:rsidRPr="00320CA5">
        <w:rPr>
          <w:rFonts w:eastAsia="Calibri" w:cs="Arial"/>
          <w:noProof/>
          <w:color w:val="auto"/>
          <w:sz w:val="18"/>
          <w:szCs w:val="18"/>
        </w:rPr>
        <w:t>M.</w:t>
      </w:r>
      <w:r>
        <w:rPr>
          <w:rFonts w:eastAsia="Calibri" w:cs="Arial"/>
          <w:color w:val="auto"/>
          <w:sz w:val="18"/>
          <w:szCs w:val="18"/>
        </w:rPr>
        <w:t xml:space="preserve"> </w:t>
      </w:r>
      <w:r w:rsidRPr="00320CA5">
        <w:rPr>
          <w:rFonts w:eastAsia="Calibri" w:cs="Arial"/>
          <w:noProof/>
          <w:color w:val="auto"/>
          <w:sz w:val="18"/>
          <w:szCs w:val="18"/>
        </w:rPr>
        <w:t>Jérôme</w:t>
      </w:r>
      <w:r>
        <w:rPr>
          <w:rFonts w:eastAsia="Calibri" w:cs="Arial"/>
          <w:color w:val="auto"/>
          <w:sz w:val="18"/>
          <w:szCs w:val="18"/>
        </w:rPr>
        <w:t xml:space="preserve"> </w:t>
      </w:r>
      <w:r w:rsidRPr="00320CA5">
        <w:rPr>
          <w:rFonts w:eastAsia="Calibri" w:cs="Arial"/>
          <w:noProof/>
          <w:color w:val="auto"/>
          <w:sz w:val="18"/>
          <w:szCs w:val="18"/>
        </w:rPr>
        <w:t>GUICHEUX</w:t>
      </w:r>
      <w:r>
        <w:rPr>
          <w:rFonts w:eastAsia="Calibri" w:cs="Arial"/>
          <w:color w:val="auto"/>
          <w:sz w:val="18"/>
          <w:szCs w:val="18"/>
        </w:rPr>
        <w:t xml:space="preserve"> </w:t>
      </w:r>
      <w:r w:rsidRPr="00320CA5">
        <w:rPr>
          <w:rFonts w:eastAsia="Calibri" w:cs="Arial"/>
          <w:noProof/>
          <w:color w:val="auto"/>
          <w:sz w:val="18"/>
          <w:szCs w:val="18"/>
        </w:rPr>
        <w:t>Directeur</w:t>
      </w:r>
      <w:r>
        <w:rPr>
          <w:rFonts w:eastAsia="Calibri" w:cs="Arial"/>
          <w:color w:val="auto"/>
          <w:sz w:val="18"/>
          <w:szCs w:val="18"/>
        </w:rPr>
        <w:t xml:space="preserve"> </w:t>
      </w:r>
      <w:r w:rsidRPr="00A14D12">
        <w:rPr>
          <w:rFonts w:eastAsia="Calibri" w:cs="Arial"/>
          <w:color w:val="auto"/>
          <w:sz w:val="18"/>
          <w:szCs w:val="18"/>
        </w:rPr>
        <w:t xml:space="preserve">de l’Unité </w:t>
      </w:r>
      <w:r w:rsidRPr="00320CA5">
        <w:rPr>
          <w:rFonts w:eastAsia="Calibri" w:cs="Arial"/>
          <w:noProof/>
          <w:color w:val="auto"/>
          <w:sz w:val="18"/>
          <w:szCs w:val="18"/>
        </w:rPr>
        <w:t>1229</w:t>
      </w:r>
      <w:r w:rsidRPr="00A14D12">
        <w:rPr>
          <w:rFonts w:eastAsia="Calibri" w:cs="Arial"/>
          <w:color w:val="auto"/>
          <w:sz w:val="18"/>
          <w:szCs w:val="18"/>
        </w:rPr>
        <w:t xml:space="preserve">  ;</w:t>
      </w:r>
    </w:p>
    <w:p w14:paraId="3ADAAB0B" w14:textId="77777777" w:rsidR="00D26952" w:rsidRPr="00D332C8" w:rsidRDefault="00D26952" w:rsidP="00D26952">
      <w:pPr>
        <w:spacing w:after="0" w:line="240" w:lineRule="auto"/>
        <w:rPr>
          <w:rFonts w:eastAsia="Times New Roman" w:cs="Arial"/>
          <w:color w:val="auto"/>
          <w:sz w:val="20"/>
          <w:szCs w:val="20"/>
          <w:lang w:eastAsia="fr-FR"/>
        </w:rPr>
      </w:pPr>
    </w:p>
    <w:p w14:paraId="71E091F2" w14:textId="77777777" w:rsidR="00D26952" w:rsidRDefault="00D26952" w:rsidP="00D26952">
      <w:pPr>
        <w:spacing w:after="0" w:line="240" w:lineRule="auto"/>
        <w:rPr>
          <w:rFonts w:eastAsia="Times New Roman" w:cs="Arial"/>
          <w:color w:val="auto"/>
          <w:sz w:val="20"/>
          <w:szCs w:val="20"/>
          <w:lang w:val="it-IT" w:eastAsia="fr-FR"/>
        </w:rPr>
      </w:pPr>
    </w:p>
    <w:p w14:paraId="0699B858" w14:textId="77777777" w:rsidR="00D26952" w:rsidRDefault="00D26952" w:rsidP="00D26952">
      <w:pPr>
        <w:spacing w:after="0" w:line="240" w:lineRule="auto"/>
        <w:rPr>
          <w:rFonts w:eastAsia="Times New Roman" w:cs="Arial"/>
          <w:color w:val="auto"/>
          <w:sz w:val="20"/>
          <w:szCs w:val="20"/>
          <w:lang w:val="it-IT" w:eastAsia="fr-FR"/>
        </w:rPr>
      </w:pPr>
    </w:p>
    <w:p w14:paraId="3D0EC99D" w14:textId="77777777" w:rsidR="00D26952" w:rsidRDefault="00D26952" w:rsidP="00D26952">
      <w:pPr>
        <w:spacing w:after="0" w:line="240" w:lineRule="auto"/>
        <w:rPr>
          <w:rFonts w:eastAsia="Times New Roman" w:cs="Arial"/>
          <w:color w:val="auto"/>
          <w:sz w:val="20"/>
          <w:szCs w:val="20"/>
          <w:lang w:val="it-IT" w:eastAsia="fr-FR"/>
        </w:rPr>
      </w:pPr>
    </w:p>
    <w:p w14:paraId="30D9A636" w14:textId="77777777" w:rsidR="00D26952" w:rsidRDefault="00D26952" w:rsidP="00D26952">
      <w:pPr>
        <w:spacing w:after="0" w:line="240" w:lineRule="auto"/>
        <w:rPr>
          <w:rFonts w:eastAsia="Times New Roman" w:cs="Arial"/>
          <w:color w:val="auto"/>
          <w:sz w:val="20"/>
          <w:szCs w:val="20"/>
          <w:lang w:val="it-IT" w:eastAsia="fr-FR"/>
        </w:rPr>
      </w:pPr>
    </w:p>
    <w:p w14:paraId="6F0B9E8A" w14:textId="77777777" w:rsidR="00D26952" w:rsidRDefault="00D26952" w:rsidP="00D26952">
      <w:pPr>
        <w:spacing w:after="0" w:line="240" w:lineRule="auto"/>
        <w:rPr>
          <w:rFonts w:eastAsia="Times New Roman" w:cs="Arial"/>
          <w:color w:val="auto"/>
          <w:sz w:val="20"/>
          <w:szCs w:val="20"/>
          <w:lang w:val="it-IT" w:eastAsia="fr-FR"/>
        </w:rPr>
      </w:pPr>
    </w:p>
    <w:p w14:paraId="1A3A0CA6" w14:textId="77777777" w:rsidR="00D26952" w:rsidRDefault="00D26952" w:rsidP="00D26952">
      <w:pPr>
        <w:spacing w:after="0" w:line="240" w:lineRule="auto"/>
        <w:rPr>
          <w:rFonts w:eastAsia="Times New Roman" w:cs="Arial"/>
          <w:color w:val="auto"/>
          <w:sz w:val="20"/>
          <w:szCs w:val="20"/>
          <w:lang w:val="it-IT" w:eastAsia="fr-FR"/>
        </w:rPr>
      </w:pPr>
    </w:p>
    <w:p w14:paraId="74EF9C59" w14:textId="77777777" w:rsidR="00D26952" w:rsidRDefault="00D26952" w:rsidP="00D26952">
      <w:pPr>
        <w:spacing w:after="0" w:line="240" w:lineRule="auto"/>
        <w:rPr>
          <w:rFonts w:eastAsia="Times New Roman" w:cs="Arial"/>
          <w:color w:val="auto"/>
          <w:sz w:val="20"/>
          <w:szCs w:val="20"/>
          <w:lang w:val="it-IT" w:eastAsia="fr-FR"/>
        </w:rPr>
      </w:pPr>
    </w:p>
    <w:p w14:paraId="74710E35" w14:textId="77777777" w:rsidR="00D26952" w:rsidRDefault="00D26952" w:rsidP="00D26952">
      <w:pPr>
        <w:spacing w:after="0" w:line="240" w:lineRule="auto"/>
        <w:rPr>
          <w:rFonts w:eastAsia="Times New Roman" w:cs="Arial"/>
          <w:color w:val="auto"/>
          <w:sz w:val="20"/>
          <w:szCs w:val="20"/>
          <w:lang w:val="it-IT" w:eastAsia="fr-FR"/>
        </w:rPr>
      </w:pPr>
    </w:p>
    <w:p w14:paraId="64E47674" w14:textId="77777777" w:rsidR="00D26952" w:rsidRDefault="00D26952" w:rsidP="00D26952">
      <w:pPr>
        <w:spacing w:after="0" w:line="240" w:lineRule="auto"/>
        <w:rPr>
          <w:rFonts w:eastAsia="Times New Roman" w:cs="Arial"/>
          <w:color w:val="auto"/>
          <w:sz w:val="20"/>
          <w:szCs w:val="20"/>
          <w:lang w:val="it-IT" w:eastAsia="fr-FR"/>
        </w:rPr>
      </w:pPr>
    </w:p>
    <w:p w14:paraId="5E6BA3FC" w14:textId="77777777" w:rsidR="00D26952" w:rsidRDefault="00D26952" w:rsidP="00D26952">
      <w:pPr>
        <w:spacing w:after="0" w:line="240" w:lineRule="auto"/>
        <w:rPr>
          <w:rFonts w:eastAsia="Times New Roman" w:cs="Arial"/>
          <w:color w:val="auto"/>
          <w:sz w:val="20"/>
          <w:szCs w:val="20"/>
          <w:lang w:val="it-IT" w:eastAsia="fr-FR"/>
        </w:rPr>
      </w:pPr>
    </w:p>
    <w:p w14:paraId="3733854D" w14:textId="77777777" w:rsidR="00D26952" w:rsidRPr="00A14D12" w:rsidRDefault="00D26952" w:rsidP="00D26952">
      <w:pPr>
        <w:spacing w:after="0" w:line="240" w:lineRule="auto"/>
        <w:rPr>
          <w:rFonts w:eastAsia="Times New Roman" w:cs="Arial"/>
          <w:color w:val="auto"/>
          <w:sz w:val="20"/>
          <w:szCs w:val="20"/>
          <w:lang w:val="it-IT" w:eastAsia="fr-FR"/>
        </w:rPr>
      </w:pPr>
    </w:p>
    <w:p w14:paraId="4F4BDFA8" w14:textId="77777777" w:rsidR="00D26952" w:rsidRPr="00A14D12" w:rsidRDefault="00D26952" w:rsidP="00D26952">
      <w:pPr>
        <w:keepNext/>
        <w:keepLines/>
        <w:tabs>
          <w:tab w:val="left" w:pos="708"/>
        </w:tabs>
        <w:spacing w:before="200" w:after="0" w:line="240" w:lineRule="auto"/>
        <w:jc w:val="center"/>
        <w:outlineLvl w:val="5"/>
        <w:rPr>
          <w:rFonts w:eastAsia="Times New Roman" w:cs="Arial"/>
          <w:b/>
          <w:iCs/>
          <w:color w:val="auto"/>
          <w:spacing w:val="20"/>
          <w:lang w:val="it-IT" w:eastAsia="fr-FR"/>
        </w:rPr>
      </w:pPr>
      <w:r w:rsidRPr="00A14D12">
        <w:rPr>
          <w:rFonts w:eastAsia="Times New Roman" w:cs="Arial"/>
          <w:b/>
          <w:iCs/>
          <w:color w:val="auto"/>
          <w:spacing w:val="20"/>
          <w:lang w:val="it-IT" w:eastAsia="fr-FR"/>
        </w:rPr>
        <w:t>DECIDE :</w:t>
      </w:r>
    </w:p>
    <w:p w14:paraId="2CD01BDB" w14:textId="77777777" w:rsidR="00D26952" w:rsidRPr="00A14D12" w:rsidRDefault="00D26952" w:rsidP="00D26952">
      <w:pPr>
        <w:spacing w:after="0" w:line="240" w:lineRule="auto"/>
        <w:rPr>
          <w:rFonts w:eastAsia="Times New Roman" w:cs="Arial"/>
          <w:color w:val="auto"/>
          <w:sz w:val="20"/>
          <w:szCs w:val="20"/>
          <w:lang w:val="it-IT" w:eastAsia="fr-FR"/>
        </w:rPr>
      </w:pPr>
    </w:p>
    <w:tbl>
      <w:tblPr>
        <w:tblW w:w="8575" w:type="dxa"/>
        <w:tblCellMar>
          <w:left w:w="70" w:type="dxa"/>
          <w:right w:w="70" w:type="dxa"/>
        </w:tblCellMar>
        <w:tblLook w:val="04A0" w:firstRow="1" w:lastRow="0" w:firstColumn="1" w:lastColumn="0" w:noHBand="0" w:noVBand="1"/>
      </w:tblPr>
      <w:tblGrid>
        <w:gridCol w:w="1346"/>
        <w:gridCol w:w="7229"/>
      </w:tblGrid>
      <w:tr w:rsidR="00D26952" w:rsidRPr="00A14D12" w14:paraId="0AEE2C98" w14:textId="77777777" w:rsidTr="002D11E6">
        <w:tc>
          <w:tcPr>
            <w:tcW w:w="1346" w:type="dxa"/>
          </w:tcPr>
          <w:p w14:paraId="46C962A5" w14:textId="77777777" w:rsidR="00D26952" w:rsidRPr="00A14D12" w:rsidRDefault="00D26952" w:rsidP="002D11E6">
            <w:pPr>
              <w:spacing w:after="0" w:line="240" w:lineRule="auto"/>
              <w:ind w:right="-1"/>
              <w:jc w:val="both"/>
              <w:rPr>
                <w:rFonts w:eastAsia="Calibri" w:cs="Arial"/>
                <w:b/>
                <w:color w:val="auto"/>
                <w:sz w:val="20"/>
                <w:szCs w:val="20"/>
              </w:rPr>
            </w:pPr>
            <w:r w:rsidRPr="00A14D12">
              <w:rPr>
                <w:rFonts w:eastAsia="Calibri" w:cs="Arial"/>
                <w:b/>
                <w:color w:val="auto"/>
                <w:sz w:val="20"/>
                <w:szCs w:val="20"/>
              </w:rPr>
              <w:t>Article 1 :</w:t>
            </w:r>
          </w:p>
          <w:p w14:paraId="36DA35B9" w14:textId="77777777" w:rsidR="00D26952" w:rsidRPr="00A14D12" w:rsidRDefault="00D26952" w:rsidP="002D11E6">
            <w:pPr>
              <w:spacing w:after="0" w:line="240" w:lineRule="auto"/>
              <w:ind w:right="-1"/>
              <w:jc w:val="both"/>
              <w:rPr>
                <w:rFonts w:eastAsia="Calibri" w:cs="Arial"/>
                <w:color w:val="auto"/>
                <w:sz w:val="20"/>
                <w:szCs w:val="20"/>
              </w:rPr>
            </w:pPr>
          </w:p>
        </w:tc>
        <w:tc>
          <w:tcPr>
            <w:tcW w:w="7229" w:type="dxa"/>
          </w:tcPr>
          <w:p w14:paraId="6C4BD59E" w14:textId="32C8ACA7" w:rsidR="00D26952" w:rsidRPr="00A14D12" w:rsidRDefault="00D26952" w:rsidP="002D11E6">
            <w:pPr>
              <w:spacing w:line="240" w:lineRule="auto"/>
              <w:jc w:val="both"/>
              <w:rPr>
                <w:rFonts w:eastAsia="Calibri" w:cs="Arial"/>
                <w:color w:val="auto"/>
                <w:sz w:val="20"/>
                <w:szCs w:val="20"/>
              </w:rPr>
            </w:pPr>
            <w:r w:rsidRPr="00A14D12">
              <w:rPr>
                <w:rFonts w:eastAsia="Calibri" w:cs="Arial"/>
                <w:color w:val="auto"/>
                <w:sz w:val="20"/>
                <w:szCs w:val="20"/>
              </w:rPr>
              <w:t xml:space="preserve">En cas d’absence ou d’empêchement de </w:t>
            </w:r>
            <w:r w:rsidRPr="00320CA5">
              <w:rPr>
                <w:rFonts w:eastAsia="Calibri" w:cs="Arial"/>
                <w:noProof/>
                <w:color w:val="auto"/>
                <w:sz w:val="20"/>
                <w:szCs w:val="20"/>
              </w:rPr>
              <w:t>M.</w:t>
            </w:r>
            <w:r w:rsidRPr="00A14D12">
              <w:rPr>
                <w:rFonts w:eastAsia="Calibri" w:cs="Arial"/>
                <w:color w:val="auto"/>
                <w:sz w:val="20"/>
                <w:szCs w:val="20"/>
              </w:rPr>
              <w:t xml:space="preserve"> </w:t>
            </w:r>
            <w:r w:rsidRPr="00320CA5">
              <w:rPr>
                <w:rFonts w:eastAsia="Calibri" w:cs="Arial"/>
                <w:noProof/>
                <w:color w:val="auto"/>
                <w:sz w:val="20"/>
                <w:szCs w:val="20"/>
              </w:rPr>
              <w:t>Jérôme</w:t>
            </w:r>
            <w:r>
              <w:rPr>
                <w:rFonts w:eastAsia="Calibri" w:cs="Arial"/>
                <w:color w:val="auto"/>
                <w:sz w:val="20"/>
                <w:szCs w:val="20"/>
              </w:rPr>
              <w:t xml:space="preserve"> </w:t>
            </w:r>
            <w:r w:rsidRPr="00320CA5">
              <w:rPr>
                <w:rFonts w:eastAsia="Calibri" w:cs="Arial"/>
                <w:noProof/>
                <w:color w:val="auto"/>
                <w:sz w:val="20"/>
                <w:szCs w:val="20"/>
              </w:rPr>
              <w:t>GUICHEUX</w:t>
            </w:r>
            <w:r w:rsidRPr="00A14D12">
              <w:rPr>
                <w:rFonts w:eastAsia="Calibri" w:cs="Arial"/>
                <w:color w:val="auto"/>
                <w:sz w:val="20"/>
                <w:szCs w:val="20"/>
              </w:rPr>
              <w:t xml:space="preserve">, </w:t>
            </w:r>
            <w:r w:rsidRPr="00320CA5">
              <w:rPr>
                <w:rFonts w:eastAsia="Calibri" w:cs="Arial"/>
                <w:noProof/>
                <w:color w:val="auto"/>
                <w:sz w:val="20"/>
                <w:szCs w:val="20"/>
              </w:rPr>
              <w:t>Directeur</w:t>
            </w:r>
            <w:r>
              <w:rPr>
                <w:rFonts w:eastAsia="Calibri" w:cs="Arial"/>
                <w:color w:val="auto"/>
                <w:sz w:val="20"/>
                <w:szCs w:val="20"/>
              </w:rPr>
              <w:t xml:space="preserve"> </w:t>
            </w:r>
            <w:r w:rsidRPr="00A14D12">
              <w:rPr>
                <w:rFonts w:eastAsia="Calibri" w:cs="Arial"/>
                <w:color w:val="auto"/>
                <w:sz w:val="20"/>
                <w:szCs w:val="20"/>
              </w:rPr>
              <w:t>de l’Unité</w:t>
            </w:r>
            <w:r>
              <w:rPr>
                <w:rFonts w:eastAsia="Calibri" w:cs="Arial"/>
                <w:color w:val="auto"/>
                <w:sz w:val="20"/>
                <w:szCs w:val="20"/>
              </w:rPr>
              <w:t xml:space="preserve"> </w:t>
            </w:r>
            <w:r w:rsidRPr="00320CA5">
              <w:rPr>
                <w:rFonts w:eastAsia="Calibri" w:cs="Arial"/>
                <w:noProof/>
                <w:color w:val="auto"/>
                <w:sz w:val="20"/>
                <w:szCs w:val="20"/>
              </w:rPr>
              <w:t>1229</w:t>
            </w:r>
            <w:r w:rsidRPr="00A14D12">
              <w:rPr>
                <w:rFonts w:eastAsia="Calibri" w:cs="Arial"/>
                <w:color w:val="auto"/>
                <w:sz w:val="20"/>
                <w:szCs w:val="20"/>
              </w:rPr>
              <w:t xml:space="preserve">, délégation permanente de signature est accordée à </w:t>
            </w:r>
            <w:r w:rsidRPr="00320CA5">
              <w:rPr>
                <w:rFonts w:eastAsia="Calibri" w:cs="Arial"/>
                <w:noProof/>
                <w:color w:val="auto"/>
                <w:sz w:val="20"/>
                <w:szCs w:val="20"/>
              </w:rPr>
              <w:t>Mme</w:t>
            </w:r>
            <w:r>
              <w:rPr>
                <w:rFonts w:eastAsia="Calibri" w:cs="Arial"/>
                <w:noProof/>
                <w:color w:val="auto"/>
                <w:sz w:val="20"/>
                <w:szCs w:val="20"/>
              </w:rPr>
              <w:t xml:space="preserve"> Sophie SALLE</w:t>
            </w:r>
            <w:r w:rsidRPr="00A14D12">
              <w:rPr>
                <w:rFonts w:eastAsia="Calibri" w:cs="Arial"/>
                <w:color w:val="auto"/>
                <w:sz w:val="20"/>
                <w:szCs w:val="20"/>
              </w:rPr>
              <w:t xml:space="preserve">, </w:t>
            </w:r>
            <w:r w:rsidR="006D1A1D">
              <w:rPr>
                <w:rFonts w:eastAsia="Calibri" w:cs="Arial"/>
                <w:noProof/>
                <w:color w:val="auto"/>
                <w:sz w:val="20"/>
                <w:szCs w:val="20"/>
              </w:rPr>
              <w:t>gestionnaire</w:t>
            </w:r>
            <w:r w:rsidRPr="00320CA5">
              <w:rPr>
                <w:rFonts w:eastAsia="Calibri" w:cs="Arial"/>
                <w:noProof/>
                <w:color w:val="auto"/>
                <w:sz w:val="20"/>
                <w:szCs w:val="20"/>
              </w:rPr>
              <w:t xml:space="preserve"> administrative et financière</w:t>
            </w:r>
            <w:r>
              <w:rPr>
                <w:rFonts w:eastAsia="Calibri" w:cs="Arial"/>
                <w:color w:val="auto"/>
                <w:sz w:val="20"/>
                <w:szCs w:val="20"/>
              </w:rPr>
              <w:t xml:space="preserve"> </w:t>
            </w:r>
            <w:r w:rsidRPr="00A14D12">
              <w:rPr>
                <w:rFonts w:eastAsia="Calibri" w:cs="Arial"/>
                <w:color w:val="auto"/>
                <w:sz w:val="20"/>
                <w:szCs w:val="20"/>
              </w:rPr>
              <w:t>au sein de l’Unité</w:t>
            </w:r>
            <w:r>
              <w:rPr>
                <w:rFonts w:eastAsia="Calibri" w:cs="Arial"/>
                <w:color w:val="auto"/>
                <w:sz w:val="20"/>
                <w:szCs w:val="20"/>
              </w:rPr>
              <w:t xml:space="preserve"> </w:t>
            </w:r>
            <w:r>
              <w:rPr>
                <w:rFonts w:eastAsia="Calibri" w:cs="Arial"/>
                <w:noProof/>
                <w:color w:val="auto"/>
                <w:sz w:val="20"/>
                <w:szCs w:val="20"/>
              </w:rPr>
              <w:t>1</w:t>
            </w:r>
            <w:r w:rsidRPr="00320CA5">
              <w:rPr>
                <w:rFonts w:eastAsia="Calibri" w:cs="Arial"/>
                <w:noProof/>
                <w:color w:val="auto"/>
                <w:sz w:val="20"/>
                <w:szCs w:val="20"/>
              </w:rPr>
              <w:t>229</w:t>
            </w:r>
            <w:r w:rsidRPr="00A14D12">
              <w:rPr>
                <w:rFonts w:eastAsia="Calibri" w:cs="Arial"/>
                <w:color w:val="auto"/>
                <w:sz w:val="20"/>
                <w:szCs w:val="20"/>
              </w:rPr>
              <w:t>, afin de lui permettre de signer au nom du délégué régional, dans le respect des règles applicables à l’Inserm et dans la limite des crédits disponibles de l’Unité</w:t>
            </w:r>
            <w:r>
              <w:rPr>
                <w:rFonts w:eastAsia="Calibri" w:cs="Arial"/>
                <w:color w:val="auto"/>
                <w:sz w:val="20"/>
                <w:szCs w:val="20"/>
              </w:rPr>
              <w:t xml:space="preserve"> </w:t>
            </w:r>
            <w:r w:rsidRPr="00320CA5">
              <w:rPr>
                <w:rFonts w:eastAsia="Calibri" w:cs="Arial"/>
                <w:noProof/>
                <w:color w:val="auto"/>
                <w:sz w:val="20"/>
                <w:szCs w:val="20"/>
              </w:rPr>
              <w:t>1229</w:t>
            </w:r>
            <w:r w:rsidRPr="00A14D12">
              <w:rPr>
                <w:rFonts w:eastAsia="Calibri" w:cs="Arial"/>
                <w:color w:val="auto"/>
                <w:sz w:val="20"/>
                <w:szCs w:val="20"/>
              </w:rPr>
              <w:t> :</w:t>
            </w:r>
          </w:p>
          <w:p w14:paraId="344EFF51"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les commandes (engagements juridiques), d’un montant unitaire inférieur au seuil prévu à l’article 2 de la présente décision, nécessaires à l’approvisionnement et au fonctionnement de la formation de recherche ou d’appui à la recherche concernée, dans le respect de la politique achat de l’Inserm et notamment des engagements contractuels existants, le cas échéant par la validation de l’acte dans l’outil de gestion financière de l’Inserm ;</w:t>
            </w:r>
          </w:p>
          <w:p w14:paraId="55A59613"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la certification des services faits relatifs aux engagements juridiques listés supra, le cas échéant par la validation de l’acte dans l’outil de gestion financière de l’Inserm ;</w:t>
            </w:r>
          </w:p>
          <w:p w14:paraId="4C7B33F6"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les ordres de mission et autorisations de déplacement en France et à l’étranger notamment pour les missions dans les zones à risques, le cas échéant par la validation de l’acte dans l’outil de gestion des missions de l’Inserm ;</w:t>
            </w:r>
          </w:p>
          <w:p w14:paraId="2D855523"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les états de frais au titre de leur liquidation et ordonnancement, le cas échéant par la validation de l’acte dans l’outil de gestion des missions de l’Inserm ;</w:t>
            </w:r>
          </w:p>
          <w:p w14:paraId="6F1FE159"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les demandes de remboursement sur deniers personnels au titre de leur liquidation et ordonnancement ;</w:t>
            </w:r>
          </w:p>
          <w:p w14:paraId="35151808"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les actes et documents relatifs à la gestion des stages, qu’ils donnent lieu ou non à une gratification, tel que prévu à l’article 5 de la décision Inserm n° DAJ2024-154 susvisée ;</w:t>
            </w:r>
          </w:p>
          <w:p w14:paraId="0547B8C3"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les actes en matière de santé et de sécurité au travail tel que prévu à l’article 5 de la décision Inserm n° DAJ2024-154 susvisée ;</w:t>
            </w:r>
          </w:p>
          <w:p w14:paraId="2B87B9C1" w14:textId="77777777" w:rsidR="00D26952" w:rsidRPr="00A14D12" w:rsidRDefault="00D26952" w:rsidP="00D26952">
            <w:pPr>
              <w:pStyle w:val="Paragraphedeliste"/>
              <w:numPr>
                <w:ilvl w:val="0"/>
                <w:numId w:val="1"/>
              </w:numPr>
              <w:spacing w:after="60" w:line="240" w:lineRule="auto"/>
              <w:ind w:left="714" w:hanging="357"/>
              <w:contextualSpacing w:val="0"/>
              <w:jc w:val="both"/>
              <w:rPr>
                <w:rFonts w:eastAsia="Calibri" w:cs="Arial"/>
                <w:color w:val="auto"/>
                <w:sz w:val="20"/>
                <w:szCs w:val="20"/>
              </w:rPr>
            </w:pPr>
            <w:r w:rsidRPr="00A14D12">
              <w:rPr>
                <w:rFonts w:eastAsia="Calibri" w:cs="Arial"/>
                <w:color w:val="auto"/>
                <w:sz w:val="20"/>
                <w:szCs w:val="20"/>
              </w:rPr>
              <w:t>les actes relevant de la formation permanente des personnels de la formation de recherche ou d’appui à la recherche concernée tel que prévu à l’article 5 de la décision Inserm n° DAJ2024-154 susvisée.</w:t>
            </w:r>
          </w:p>
          <w:p w14:paraId="10042AE4" w14:textId="77777777" w:rsidR="00D26952" w:rsidRPr="00A14D12" w:rsidRDefault="00D26952" w:rsidP="002D11E6">
            <w:pPr>
              <w:spacing w:after="0" w:line="240" w:lineRule="auto"/>
              <w:contextualSpacing/>
              <w:jc w:val="both"/>
              <w:rPr>
                <w:rFonts w:eastAsia="Times New Roman" w:cs="Arial"/>
                <w:color w:val="auto"/>
                <w:sz w:val="20"/>
                <w:szCs w:val="20"/>
                <w:lang w:eastAsia="fr-FR"/>
              </w:rPr>
            </w:pPr>
          </w:p>
        </w:tc>
      </w:tr>
      <w:tr w:rsidR="00D26952" w:rsidRPr="00A14D12" w14:paraId="72BA4328" w14:textId="77777777" w:rsidTr="002D11E6">
        <w:tc>
          <w:tcPr>
            <w:tcW w:w="1346" w:type="dxa"/>
          </w:tcPr>
          <w:p w14:paraId="6E318CCC" w14:textId="77777777" w:rsidR="00D26952" w:rsidRPr="00A14D12" w:rsidRDefault="00D26952" w:rsidP="002D11E6">
            <w:pPr>
              <w:spacing w:after="0" w:line="240" w:lineRule="auto"/>
              <w:ind w:right="-1"/>
              <w:jc w:val="both"/>
              <w:rPr>
                <w:rFonts w:eastAsia="Calibri" w:cs="Arial"/>
                <w:b/>
                <w:color w:val="auto"/>
                <w:sz w:val="20"/>
                <w:szCs w:val="20"/>
              </w:rPr>
            </w:pPr>
            <w:r w:rsidRPr="00A14D12">
              <w:rPr>
                <w:rFonts w:eastAsia="Calibri" w:cs="Arial"/>
                <w:b/>
                <w:color w:val="auto"/>
                <w:sz w:val="20"/>
                <w:szCs w:val="20"/>
              </w:rPr>
              <w:t>Article 2 :</w:t>
            </w:r>
          </w:p>
          <w:p w14:paraId="7DF3562E" w14:textId="77777777" w:rsidR="00D26952" w:rsidRPr="00A14D12" w:rsidRDefault="00D26952" w:rsidP="002D11E6">
            <w:pPr>
              <w:spacing w:after="0" w:line="240" w:lineRule="auto"/>
              <w:ind w:right="-1"/>
              <w:jc w:val="both"/>
              <w:rPr>
                <w:rFonts w:eastAsia="Calibri" w:cs="Arial"/>
                <w:b/>
                <w:color w:val="auto"/>
                <w:sz w:val="20"/>
                <w:szCs w:val="20"/>
              </w:rPr>
            </w:pPr>
          </w:p>
        </w:tc>
        <w:tc>
          <w:tcPr>
            <w:tcW w:w="7229" w:type="dxa"/>
          </w:tcPr>
          <w:p w14:paraId="7B3E2E73" w14:textId="77777777" w:rsidR="00D26952" w:rsidRPr="00A14D12" w:rsidRDefault="00D26952" w:rsidP="002D11E6">
            <w:pPr>
              <w:spacing w:line="240" w:lineRule="auto"/>
              <w:jc w:val="both"/>
              <w:rPr>
                <w:rFonts w:eastAsia="Calibri" w:cs="Arial"/>
                <w:color w:val="auto"/>
                <w:sz w:val="20"/>
                <w:szCs w:val="20"/>
              </w:rPr>
            </w:pPr>
            <w:r w:rsidRPr="00A14D12">
              <w:rPr>
                <w:rFonts w:eastAsia="Calibri" w:cs="Arial"/>
                <w:color w:val="auto"/>
                <w:sz w:val="20"/>
                <w:szCs w:val="20"/>
              </w:rPr>
              <w:t>Le seuil mentionné à l’article 1 ci-avant correspond au seuil européen de procédure formalisée applicable aux marchés de fournitures et services passés par des autorités publiques centrales tel que mentionné dans l’</w:t>
            </w:r>
            <w:r w:rsidRPr="00D26952">
              <w:rPr>
                <w:rFonts w:eastAsia="Calibri" w:cs="Arial"/>
                <w:color w:val="auto"/>
                <w:sz w:val="20"/>
                <w:szCs w:val="20"/>
              </w:rPr>
              <w:t>Avis relatif aux seuils de procédure et à la liste des autorités publiques centrales en droit de la commande publique</w:t>
            </w:r>
            <w:r w:rsidRPr="00A14D12">
              <w:rPr>
                <w:rFonts w:eastAsia="Calibri" w:cs="Arial"/>
                <w:color w:val="auto"/>
                <w:sz w:val="20"/>
                <w:szCs w:val="20"/>
              </w:rPr>
              <w:t xml:space="preserve"> qui constitue l’Annexe n° 2 du code de la commande publique. Ce seuil est à comparer à la valeur unitaire de l’engagement juridique à signer ou à valider.</w:t>
            </w:r>
          </w:p>
          <w:p w14:paraId="6E594BB5" w14:textId="77777777" w:rsidR="00D26952" w:rsidRPr="00A14D12" w:rsidRDefault="00D26952" w:rsidP="002D11E6">
            <w:pPr>
              <w:spacing w:after="0" w:line="240" w:lineRule="auto"/>
              <w:contextualSpacing/>
              <w:jc w:val="both"/>
              <w:rPr>
                <w:rFonts w:eastAsia="Calibri" w:cs="Arial"/>
                <w:color w:val="auto"/>
                <w:sz w:val="20"/>
                <w:szCs w:val="20"/>
              </w:rPr>
            </w:pPr>
          </w:p>
        </w:tc>
      </w:tr>
      <w:tr w:rsidR="00D26952" w:rsidRPr="00A14D12" w14:paraId="36878DA0" w14:textId="77777777" w:rsidTr="002D11E6">
        <w:tc>
          <w:tcPr>
            <w:tcW w:w="1346" w:type="dxa"/>
          </w:tcPr>
          <w:p w14:paraId="6EAF3EA7" w14:textId="77777777" w:rsidR="00D26952" w:rsidRPr="00A14D12" w:rsidRDefault="00D26952" w:rsidP="002D11E6">
            <w:pPr>
              <w:spacing w:after="0" w:line="240" w:lineRule="auto"/>
              <w:ind w:right="-1"/>
              <w:jc w:val="both"/>
              <w:rPr>
                <w:rFonts w:eastAsia="Calibri" w:cs="Arial"/>
                <w:b/>
                <w:color w:val="auto"/>
                <w:sz w:val="20"/>
                <w:szCs w:val="20"/>
              </w:rPr>
            </w:pPr>
            <w:r w:rsidRPr="00A14D12">
              <w:rPr>
                <w:rFonts w:eastAsia="Calibri" w:cs="Arial"/>
                <w:b/>
                <w:color w:val="auto"/>
                <w:sz w:val="20"/>
                <w:szCs w:val="20"/>
              </w:rPr>
              <w:t>Article 3 :</w:t>
            </w:r>
          </w:p>
          <w:p w14:paraId="540386E0" w14:textId="77777777" w:rsidR="00D26952" w:rsidRPr="00A14D12" w:rsidRDefault="00D26952" w:rsidP="002D11E6">
            <w:pPr>
              <w:spacing w:after="0" w:line="240" w:lineRule="auto"/>
              <w:ind w:right="-1"/>
              <w:jc w:val="both"/>
              <w:rPr>
                <w:rFonts w:eastAsia="Calibri" w:cs="Arial"/>
                <w:b/>
                <w:color w:val="auto"/>
                <w:sz w:val="20"/>
                <w:szCs w:val="20"/>
              </w:rPr>
            </w:pPr>
          </w:p>
        </w:tc>
        <w:tc>
          <w:tcPr>
            <w:tcW w:w="7229" w:type="dxa"/>
          </w:tcPr>
          <w:p w14:paraId="265A231B" w14:textId="77777777" w:rsidR="00D26952" w:rsidRDefault="00D26952" w:rsidP="002D11E6">
            <w:pPr>
              <w:spacing w:line="240" w:lineRule="auto"/>
              <w:jc w:val="both"/>
              <w:rPr>
                <w:rFonts w:eastAsia="Calibri" w:cs="Arial"/>
                <w:color w:val="auto"/>
                <w:sz w:val="20"/>
                <w:szCs w:val="20"/>
              </w:rPr>
            </w:pPr>
            <w:r w:rsidRPr="00A14D12">
              <w:rPr>
                <w:rFonts w:eastAsia="Calibri" w:cs="Arial"/>
                <w:color w:val="auto"/>
                <w:sz w:val="20"/>
                <w:szCs w:val="20"/>
              </w:rPr>
              <w:t xml:space="preserve"> En application des dispositions de l’article L. 122-1 du code général de la fonction publique, afin de faire cesser ou de prévenir toute situation de conflit d'intérêts au sens de l'article L. 121-5 dudit code, le bénéficiaire de la présente délégation de signature qui estime se trouver dans une telle situation devra d’une part, en aviser sans délai le délégant et d’autre part, s'abstenir d'en user.</w:t>
            </w:r>
          </w:p>
          <w:p w14:paraId="7F8D2534" w14:textId="77777777" w:rsidR="00D26952" w:rsidRDefault="00D26952" w:rsidP="002D11E6">
            <w:pPr>
              <w:spacing w:line="240" w:lineRule="auto"/>
              <w:jc w:val="both"/>
              <w:rPr>
                <w:rFonts w:eastAsia="Calibri" w:cs="Arial"/>
                <w:color w:val="auto"/>
                <w:sz w:val="20"/>
                <w:szCs w:val="20"/>
              </w:rPr>
            </w:pPr>
          </w:p>
          <w:p w14:paraId="7EF41EAB" w14:textId="77777777" w:rsidR="00D26952" w:rsidRDefault="00D26952" w:rsidP="002D11E6">
            <w:pPr>
              <w:spacing w:line="240" w:lineRule="auto"/>
              <w:jc w:val="both"/>
              <w:rPr>
                <w:rFonts w:eastAsia="Calibri" w:cs="Arial"/>
                <w:color w:val="auto"/>
                <w:sz w:val="20"/>
                <w:szCs w:val="20"/>
              </w:rPr>
            </w:pPr>
          </w:p>
          <w:p w14:paraId="7A46376A" w14:textId="77777777" w:rsidR="00D26952" w:rsidRDefault="00D26952" w:rsidP="002D11E6">
            <w:pPr>
              <w:spacing w:line="240" w:lineRule="auto"/>
              <w:jc w:val="both"/>
              <w:rPr>
                <w:rFonts w:eastAsia="Calibri" w:cs="Arial"/>
                <w:color w:val="auto"/>
                <w:sz w:val="20"/>
                <w:szCs w:val="20"/>
              </w:rPr>
            </w:pPr>
          </w:p>
          <w:p w14:paraId="1F9AD91B" w14:textId="77777777" w:rsidR="00D26952" w:rsidRPr="00A14D12" w:rsidRDefault="00D26952" w:rsidP="002D11E6">
            <w:pPr>
              <w:spacing w:line="240" w:lineRule="auto"/>
              <w:jc w:val="both"/>
              <w:rPr>
                <w:rFonts w:eastAsia="Calibri" w:cs="Arial"/>
                <w:color w:val="auto"/>
                <w:sz w:val="20"/>
                <w:szCs w:val="20"/>
              </w:rPr>
            </w:pPr>
          </w:p>
          <w:p w14:paraId="7509926E" w14:textId="77777777" w:rsidR="00D26952" w:rsidRDefault="00D26952" w:rsidP="002D11E6">
            <w:pPr>
              <w:spacing w:line="240" w:lineRule="auto"/>
              <w:jc w:val="both"/>
              <w:rPr>
                <w:rFonts w:eastAsia="Calibri" w:cs="Arial"/>
                <w:color w:val="auto"/>
                <w:sz w:val="20"/>
                <w:szCs w:val="20"/>
              </w:rPr>
            </w:pPr>
          </w:p>
          <w:p w14:paraId="6B019394" w14:textId="77777777" w:rsidR="00D26952" w:rsidRPr="00A14D12" w:rsidRDefault="00D26952" w:rsidP="002D11E6">
            <w:pPr>
              <w:spacing w:line="240" w:lineRule="auto"/>
              <w:jc w:val="both"/>
              <w:rPr>
                <w:rFonts w:eastAsia="Calibri" w:cs="Arial"/>
                <w:color w:val="auto"/>
                <w:sz w:val="20"/>
                <w:szCs w:val="20"/>
              </w:rPr>
            </w:pPr>
          </w:p>
        </w:tc>
      </w:tr>
      <w:tr w:rsidR="00D26952" w:rsidRPr="00A14D12" w14:paraId="5766C83C" w14:textId="77777777" w:rsidTr="002D11E6">
        <w:tc>
          <w:tcPr>
            <w:tcW w:w="1346" w:type="dxa"/>
          </w:tcPr>
          <w:p w14:paraId="09510C85" w14:textId="3C24AFBF" w:rsidR="00D26952" w:rsidRPr="00A14D12" w:rsidRDefault="00D26952" w:rsidP="002D11E6">
            <w:pPr>
              <w:spacing w:after="0" w:line="240" w:lineRule="auto"/>
              <w:ind w:right="-1"/>
              <w:jc w:val="both"/>
              <w:rPr>
                <w:rFonts w:eastAsia="Calibri" w:cs="Arial"/>
                <w:b/>
                <w:color w:val="auto"/>
                <w:sz w:val="20"/>
                <w:szCs w:val="20"/>
              </w:rPr>
            </w:pPr>
            <w:r w:rsidRPr="00A14D12">
              <w:rPr>
                <w:rFonts w:eastAsia="Calibri" w:cs="Arial"/>
                <w:b/>
                <w:color w:val="auto"/>
                <w:sz w:val="20"/>
                <w:szCs w:val="20"/>
              </w:rPr>
              <w:lastRenderedPageBreak/>
              <w:t>Article 4 :</w:t>
            </w:r>
          </w:p>
          <w:p w14:paraId="0559F22F" w14:textId="77777777" w:rsidR="00D26952" w:rsidRPr="00A14D12" w:rsidRDefault="00D26952" w:rsidP="002D11E6">
            <w:pPr>
              <w:spacing w:after="0" w:line="240" w:lineRule="auto"/>
              <w:ind w:right="-1"/>
              <w:jc w:val="both"/>
              <w:rPr>
                <w:rFonts w:eastAsia="Calibri" w:cs="Arial"/>
                <w:b/>
                <w:color w:val="auto"/>
                <w:sz w:val="20"/>
                <w:szCs w:val="20"/>
              </w:rPr>
            </w:pPr>
          </w:p>
        </w:tc>
        <w:tc>
          <w:tcPr>
            <w:tcW w:w="7229" w:type="dxa"/>
          </w:tcPr>
          <w:p w14:paraId="06AE9336" w14:textId="488ABE84" w:rsidR="00D26952" w:rsidRPr="00A14D12" w:rsidRDefault="00D26952" w:rsidP="002D11E6">
            <w:pPr>
              <w:spacing w:line="240" w:lineRule="auto"/>
              <w:jc w:val="both"/>
              <w:rPr>
                <w:rFonts w:eastAsia="Calibri" w:cs="Arial"/>
                <w:color w:val="auto"/>
                <w:sz w:val="20"/>
                <w:szCs w:val="20"/>
              </w:rPr>
            </w:pPr>
            <w:r w:rsidRPr="00A14D12">
              <w:rPr>
                <w:rFonts w:eastAsia="Calibri" w:cs="Arial"/>
                <w:color w:val="auto"/>
                <w:sz w:val="20"/>
                <w:szCs w:val="20"/>
              </w:rPr>
              <w:t>La présente décision remplace les dispositions des décisions existantes ayant le même objet.</w:t>
            </w:r>
          </w:p>
          <w:p w14:paraId="72523922" w14:textId="77777777" w:rsidR="00D26952" w:rsidRPr="00A14D12" w:rsidRDefault="00D26952" w:rsidP="002D11E6">
            <w:pPr>
              <w:spacing w:after="0" w:line="240" w:lineRule="auto"/>
              <w:contextualSpacing/>
              <w:jc w:val="both"/>
              <w:rPr>
                <w:rFonts w:eastAsia="Calibri" w:cs="Arial"/>
                <w:color w:val="auto"/>
                <w:sz w:val="20"/>
                <w:szCs w:val="20"/>
              </w:rPr>
            </w:pPr>
          </w:p>
        </w:tc>
      </w:tr>
      <w:tr w:rsidR="00D26952" w:rsidRPr="00A14D12" w14:paraId="0BE53026" w14:textId="77777777" w:rsidTr="002D11E6">
        <w:tc>
          <w:tcPr>
            <w:tcW w:w="1346" w:type="dxa"/>
          </w:tcPr>
          <w:p w14:paraId="1D1C7B71" w14:textId="77777777" w:rsidR="00D26952" w:rsidRPr="00A14D12" w:rsidRDefault="00D26952" w:rsidP="002D11E6">
            <w:pPr>
              <w:spacing w:after="0" w:line="240" w:lineRule="auto"/>
              <w:ind w:right="-1"/>
              <w:jc w:val="both"/>
              <w:rPr>
                <w:rFonts w:eastAsia="Calibri" w:cs="Arial"/>
                <w:b/>
                <w:color w:val="auto"/>
                <w:sz w:val="20"/>
                <w:szCs w:val="20"/>
              </w:rPr>
            </w:pPr>
            <w:r w:rsidRPr="00A14D12">
              <w:rPr>
                <w:rFonts w:eastAsia="Calibri" w:cs="Arial"/>
                <w:b/>
                <w:color w:val="auto"/>
                <w:sz w:val="20"/>
                <w:szCs w:val="20"/>
              </w:rPr>
              <w:t>Article 5 :</w:t>
            </w:r>
          </w:p>
          <w:p w14:paraId="68B86920" w14:textId="77777777" w:rsidR="00D26952" w:rsidRPr="00A14D12" w:rsidRDefault="00D26952" w:rsidP="002D11E6">
            <w:pPr>
              <w:spacing w:after="0" w:line="240" w:lineRule="auto"/>
              <w:ind w:right="-1"/>
              <w:jc w:val="both"/>
              <w:rPr>
                <w:rFonts w:eastAsia="Calibri" w:cs="Arial"/>
                <w:b/>
                <w:color w:val="auto"/>
                <w:sz w:val="20"/>
                <w:szCs w:val="20"/>
              </w:rPr>
            </w:pPr>
          </w:p>
        </w:tc>
        <w:tc>
          <w:tcPr>
            <w:tcW w:w="7229" w:type="dxa"/>
          </w:tcPr>
          <w:p w14:paraId="05A5F0FB" w14:textId="77777777" w:rsidR="00D26952" w:rsidRPr="00A14D12" w:rsidRDefault="00D26952" w:rsidP="002D11E6">
            <w:pPr>
              <w:spacing w:after="0" w:line="240" w:lineRule="auto"/>
              <w:jc w:val="both"/>
              <w:rPr>
                <w:rFonts w:eastAsia="Calibri" w:cs="Arial"/>
                <w:color w:val="auto"/>
                <w:sz w:val="20"/>
                <w:szCs w:val="20"/>
              </w:rPr>
            </w:pPr>
            <w:r w:rsidRPr="00A14D12">
              <w:rPr>
                <w:rFonts w:eastAsia="Calibri" w:cs="Arial"/>
                <w:color w:val="auto"/>
                <w:sz w:val="20"/>
                <w:szCs w:val="20"/>
              </w:rPr>
              <w:t>La présente décision prend effet à compter du 01/01/2025. Elle sera publiée sur le site InsermPro.</w:t>
            </w:r>
          </w:p>
          <w:p w14:paraId="4A1A866E" w14:textId="77777777" w:rsidR="00D26952" w:rsidRPr="00A14D12" w:rsidRDefault="00D26952" w:rsidP="002D11E6">
            <w:pPr>
              <w:spacing w:line="240" w:lineRule="auto"/>
              <w:jc w:val="both"/>
              <w:rPr>
                <w:rFonts w:eastAsia="Calibri" w:cs="Arial"/>
                <w:color w:val="auto"/>
                <w:sz w:val="20"/>
                <w:szCs w:val="20"/>
              </w:rPr>
            </w:pPr>
          </w:p>
          <w:p w14:paraId="76A3FB1B" w14:textId="77777777" w:rsidR="00D26952" w:rsidRPr="00A14D12" w:rsidRDefault="00D26952" w:rsidP="002D11E6">
            <w:pPr>
              <w:spacing w:after="0" w:line="240" w:lineRule="auto"/>
              <w:contextualSpacing/>
              <w:jc w:val="both"/>
              <w:rPr>
                <w:rFonts w:eastAsia="Calibri" w:cs="Arial"/>
                <w:color w:val="auto"/>
                <w:sz w:val="20"/>
                <w:szCs w:val="20"/>
              </w:rPr>
            </w:pPr>
          </w:p>
        </w:tc>
      </w:tr>
    </w:tbl>
    <w:p w14:paraId="7274E6A9" w14:textId="77777777" w:rsidR="00D26952" w:rsidRPr="00A14D12" w:rsidRDefault="00D26952" w:rsidP="00D26952">
      <w:pPr>
        <w:spacing w:after="0" w:line="240" w:lineRule="auto"/>
        <w:ind w:left="4253"/>
        <w:rPr>
          <w:rFonts w:eastAsia="Calibri" w:cs="Arial"/>
          <w:b/>
          <w:color w:val="auto"/>
          <w:sz w:val="20"/>
          <w:szCs w:val="24"/>
        </w:rPr>
      </w:pPr>
    </w:p>
    <w:p w14:paraId="09C1DED4" w14:textId="77777777" w:rsidR="00D26952" w:rsidRPr="00A14D12" w:rsidRDefault="00D26952" w:rsidP="00D26952">
      <w:pPr>
        <w:spacing w:after="0" w:line="240" w:lineRule="auto"/>
        <w:ind w:left="4253"/>
        <w:rPr>
          <w:rFonts w:eastAsia="Calibri" w:cs="Arial"/>
          <w:b/>
          <w:color w:val="auto"/>
          <w:sz w:val="20"/>
          <w:szCs w:val="24"/>
        </w:rPr>
      </w:pPr>
    </w:p>
    <w:p w14:paraId="6D8E2130" w14:textId="77777777" w:rsidR="00D26952" w:rsidRPr="00A14D12" w:rsidRDefault="00D26952" w:rsidP="00D26952">
      <w:pPr>
        <w:spacing w:after="0" w:line="240" w:lineRule="auto"/>
        <w:ind w:left="4253"/>
        <w:rPr>
          <w:rFonts w:eastAsia="Calibri" w:cs="Arial"/>
          <w:b/>
          <w:color w:val="auto"/>
          <w:sz w:val="20"/>
          <w:szCs w:val="24"/>
        </w:rPr>
      </w:pPr>
    </w:p>
    <w:p w14:paraId="009C14CB" w14:textId="77777777" w:rsidR="00D26952" w:rsidRPr="00A14D12" w:rsidRDefault="00D26952" w:rsidP="00D26952">
      <w:pPr>
        <w:spacing w:after="0" w:line="240" w:lineRule="auto"/>
        <w:ind w:left="4253"/>
        <w:rPr>
          <w:rFonts w:eastAsia="Calibri" w:cs="Arial"/>
          <w:b/>
          <w:color w:val="auto"/>
          <w:sz w:val="20"/>
          <w:szCs w:val="24"/>
        </w:rPr>
      </w:pPr>
    </w:p>
    <w:p w14:paraId="7ED66804" w14:textId="77777777" w:rsidR="00D26952" w:rsidRPr="00A14D12" w:rsidRDefault="00D26952" w:rsidP="00D26952">
      <w:pPr>
        <w:spacing w:after="0" w:line="240" w:lineRule="auto"/>
        <w:ind w:left="4253"/>
        <w:rPr>
          <w:rFonts w:eastAsia="Calibri" w:cs="Arial"/>
          <w:b/>
          <w:color w:val="auto"/>
          <w:sz w:val="20"/>
          <w:szCs w:val="24"/>
        </w:rPr>
      </w:pPr>
      <w:r w:rsidRPr="00A14D12">
        <w:rPr>
          <w:rFonts w:eastAsia="Calibri" w:cs="Arial"/>
          <w:b/>
          <w:color w:val="auto"/>
          <w:sz w:val="20"/>
          <w:szCs w:val="24"/>
        </w:rPr>
        <w:t>Frédéric DELALEU</w:t>
      </w:r>
    </w:p>
    <w:p w14:paraId="02614B1B" w14:textId="77777777" w:rsidR="00D26952" w:rsidRPr="00A14D12" w:rsidRDefault="00D26952" w:rsidP="00D26952">
      <w:pPr>
        <w:spacing w:after="0" w:line="240" w:lineRule="auto"/>
        <w:ind w:left="4253"/>
        <w:rPr>
          <w:rFonts w:eastAsia="Calibri" w:cs="Arial"/>
          <w:color w:val="auto"/>
          <w:sz w:val="20"/>
          <w:szCs w:val="24"/>
        </w:rPr>
      </w:pPr>
      <w:r w:rsidRPr="00A14D12">
        <w:rPr>
          <w:rFonts w:eastAsia="Calibri" w:cs="Arial"/>
          <w:color w:val="auto"/>
          <w:sz w:val="20"/>
          <w:szCs w:val="24"/>
        </w:rPr>
        <w:t>Délégué régional GRAND OUEST de l’Inserm</w:t>
      </w:r>
    </w:p>
    <w:p w14:paraId="698B0E2B" w14:textId="77777777" w:rsidR="00D26952" w:rsidRPr="00A14D12" w:rsidRDefault="00D26952" w:rsidP="00D26952">
      <w:pPr>
        <w:spacing w:after="0" w:line="240" w:lineRule="auto"/>
        <w:ind w:left="5103"/>
        <w:rPr>
          <w:rFonts w:eastAsia="Calibri" w:cs="Arial"/>
          <w:b/>
          <w:color w:val="auto"/>
          <w:sz w:val="20"/>
          <w:szCs w:val="24"/>
        </w:rPr>
      </w:pPr>
    </w:p>
    <w:p w14:paraId="16AB6CC8" w14:textId="77777777" w:rsidR="00D26952" w:rsidRPr="00A14D12" w:rsidRDefault="00D26952" w:rsidP="00D26952">
      <w:pPr>
        <w:spacing w:after="0" w:line="240" w:lineRule="auto"/>
        <w:ind w:left="5103"/>
        <w:rPr>
          <w:rFonts w:eastAsia="Calibri" w:cs="Arial"/>
          <w:b/>
          <w:color w:val="auto"/>
          <w:sz w:val="20"/>
          <w:szCs w:val="24"/>
        </w:rPr>
      </w:pPr>
    </w:p>
    <w:sectPr w:rsidR="00D26952" w:rsidRPr="00A14D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A3F4B" w14:textId="77777777" w:rsidR="00D26952" w:rsidRDefault="00D26952" w:rsidP="00D26952">
      <w:pPr>
        <w:spacing w:after="0" w:line="240" w:lineRule="auto"/>
      </w:pPr>
      <w:r>
        <w:separator/>
      </w:r>
    </w:p>
  </w:endnote>
  <w:endnote w:type="continuationSeparator" w:id="0">
    <w:p w14:paraId="7F452D95" w14:textId="77777777" w:rsidR="00D26952" w:rsidRDefault="00D26952" w:rsidP="00D2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063E" w14:textId="77777777" w:rsidR="00D26952" w:rsidRPr="00B95ED7" w:rsidRDefault="00D26952" w:rsidP="00D26952">
    <w:pPr>
      <w:tabs>
        <w:tab w:val="left" w:pos="4253"/>
      </w:tabs>
      <w:spacing w:after="0" w:line="240" w:lineRule="auto"/>
      <w:rPr>
        <w:rFonts w:eastAsia="Calibri" w:cs="Arial"/>
        <w:color w:val="auto"/>
        <w:sz w:val="16"/>
        <w:szCs w:val="16"/>
      </w:rPr>
    </w:pPr>
    <w:r w:rsidRPr="00B95ED7">
      <w:rPr>
        <w:rFonts w:eastAsia="Calibri" w:cs="Times New Roman"/>
        <w:color w:val="auto"/>
        <w:sz w:val="16"/>
        <w:szCs w:val="16"/>
      </w:rPr>
      <w:t>République française</w:t>
    </w:r>
  </w:p>
  <w:p w14:paraId="7D44544F" w14:textId="77777777" w:rsidR="00D26952" w:rsidRPr="00B95ED7" w:rsidRDefault="00D26952" w:rsidP="00D26952">
    <w:pPr>
      <w:tabs>
        <w:tab w:val="left" w:pos="4253"/>
      </w:tabs>
      <w:spacing w:after="0" w:line="240" w:lineRule="auto"/>
      <w:rPr>
        <w:rFonts w:eastAsia="Calibri" w:cs="Times New Roman"/>
        <w:color w:val="auto"/>
        <w:sz w:val="16"/>
        <w:szCs w:val="16"/>
      </w:rPr>
    </w:pPr>
  </w:p>
  <w:p w14:paraId="41634818" w14:textId="408AAAD4" w:rsidR="00D26952" w:rsidRPr="00B95ED7" w:rsidRDefault="00D26952" w:rsidP="00D26952">
    <w:pPr>
      <w:tabs>
        <w:tab w:val="left" w:pos="4253"/>
      </w:tabs>
      <w:spacing w:after="0" w:line="240" w:lineRule="auto"/>
      <w:rPr>
        <w:rFonts w:eastAsia="Calibri" w:cs="Times New Roman"/>
        <w:color w:val="auto"/>
        <w:sz w:val="16"/>
        <w:szCs w:val="16"/>
      </w:rPr>
    </w:pPr>
    <w:r w:rsidRPr="00B95ED7">
      <w:rPr>
        <w:rFonts w:eastAsia="Calibri" w:cs="Times New Roman"/>
        <w:color w:val="auto"/>
        <w:sz w:val="16"/>
        <w:szCs w:val="16"/>
      </w:rPr>
      <w:t>Décision n°</w:t>
    </w:r>
    <w:r>
      <w:rPr>
        <w:rFonts w:eastAsia="Calibri" w:cs="Times New Roman"/>
        <w:color w:val="auto"/>
        <w:sz w:val="16"/>
        <w:szCs w:val="16"/>
      </w:rPr>
      <w:t xml:space="preserve"> 2025_</w:t>
    </w:r>
    <w:r w:rsidRPr="00A14D12">
      <w:rPr>
        <w:rFonts w:eastAsia="Calibri" w:cs="Times New Roman"/>
        <w:color w:val="auto"/>
        <w:sz w:val="16"/>
        <w:szCs w:val="16"/>
      </w:rPr>
      <w:t>U</w:t>
    </w:r>
    <w:r w:rsidRPr="00320CA5">
      <w:rPr>
        <w:rFonts w:eastAsia="Calibri" w:cs="Times New Roman"/>
        <w:noProof/>
        <w:color w:val="auto"/>
        <w:sz w:val="16"/>
        <w:szCs w:val="16"/>
      </w:rPr>
      <w:t>1229</w:t>
    </w:r>
    <w:r w:rsidRPr="00A14D12">
      <w:rPr>
        <w:rFonts w:eastAsia="Calibri" w:cs="Times New Roman"/>
        <w:color w:val="auto"/>
        <w:sz w:val="16"/>
        <w:szCs w:val="16"/>
      </w:rPr>
      <w:t xml:space="preserve"> _</w:t>
    </w:r>
    <w:r>
      <w:rPr>
        <w:rFonts w:eastAsia="Calibri" w:cs="Times New Roman"/>
        <w:color w:val="auto"/>
        <w:sz w:val="16"/>
        <w:szCs w:val="16"/>
      </w:rPr>
      <w:t>00</w:t>
    </w:r>
    <w:r>
      <w:rPr>
        <w:rFonts w:eastAsia="Calibri" w:cs="Times New Roman"/>
        <w:color w:val="auto"/>
        <w:sz w:val="16"/>
        <w:szCs w:val="16"/>
      </w:rPr>
      <w:t>4</w:t>
    </w:r>
  </w:p>
  <w:p w14:paraId="69D92172" w14:textId="22C86F05" w:rsidR="00D26952" w:rsidRDefault="00D26952">
    <w:pPr>
      <w:pStyle w:val="Pieddepage"/>
    </w:pPr>
    <w:r w:rsidRPr="00B95ED7">
      <w:rPr>
        <w:rFonts w:eastAsia="Calibri" w:cs="Times New Roman"/>
        <w:sz w:val="16"/>
        <w:szCs w:val="16"/>
      </w:rPr>
      <w:t xml:space="preserve">Page </w:t>
    </w:r>
    <w:r w:rsidRPr="00B95ED7">
      <w:rPr>
        <w:rFonts w:eastAsia="Calibri" w:cs="Times New Roman"/>
        <w:b/>
        <w:sz w:val="16"/>
        <w:szCs w:val="16"/>
      </w:rPr>
      <w:fldChar w:fldCharType="begin"/>
    </w:r>
    <w:r w:rsidRPr="00B95ED7">
      <w:rPr>
        <w:rFonts w:eastAsia="Calibri" w:cs="Times New Roman"/>
        <w:b/>
        <w:sz w:val="16"/>
        <w:szCs w:val="16"/>
      </w:rPr>
      <w:instrText>PAGE  \* Arabic  \* MERGEFORMAT</w:instrText>
    </w:r>
    <w:r w:rsidRPr="00B95ED7">
      <w:rPr>
        <w:rFonts w:eastAsia="Calibri" w:cs="Times New Roman"/>
        <w:b/>
        <w:sz w:val="16"/>
        <w:szCs w:val="16"/>
      </w:rPr>
      <w:fldChar w:fldCharType="separate"/>
    </w:r>
    <w:r>
      <w:rPr>
        <w:rFonts w:eastAsia="Calibri" w:cs="Times New Roman"/>
        <w:b/>
        <w:sz w:val="16"/>
        <w:szCs w:val="16"/>
      </w:rPr>
      <w:t>1</w:t>
    </w:r>
    <w:r w:rsidRPr="00B95ED7">
      <w:rPr>
        <w:rFonts w:eastAsia="Calibri" w:cs="Times New Roman"/>
        <w:b/>
        <w:sz w:val="16"/>
        <w:szCs w:val="16"/>
      </w:rPr>
      <w:fldChar w:fldCharType="end"/>
    </w:r>
    <w:r w:rsidRPr="00B95ED7">
      <w:rPr>
        <w:rFonts w:eastAsia="Calibri" w:cs="Times New Roman"/>
        <w:sz w:val="16"/>
        <w:szCs w:val="16"/>
      </w:rPr>
      <w:t xml:space="preserve"> sur </w:t>
    </w:r>
    <w:r w:rsidRPr="00B95ED7">
      <w:rPr>
        <w:rFonts w:eastAsia="Calibri" w:cs="Times New Roman"/>
        <w:b/>
        <w:sz w:val="16"/>
        <w:szCs w:val="16"/>
      </w:rPr>
      <w:fldChar w:fldCharType="begin"/>
    </w:r>
    <w:r w:rsidRPr="00B95ED7">
      <w:rPr>
        <w:rFonts w:eastAsia="Calibri" w:cs="Times New Roman"/>
        <w:b/>
        <w:sz w:val="16"/>
        <w:szCs w:val="16"/>
      </w:rPr>
      <w:instrText>NUMPAGES  \* Arabic  \* MERGEFORMAT</w:instrText>
    </w:r>
    <w:r w:rsidRPr="00B95ED7">
      <w:rPr>
        <w:rFonts w:eastAsia="Calibri" w:cs="Times New Roman"/>
        <w:b/>
        <w:sz w:val="16"/>
        <w:szCs w:val="16"/>
      </w:rPr>
      <w:fldChar w:fldCharType="separate"/>
    </w:r>
    <w:r>
      <w:rPr>
        <w:rFonts w:eastAsia="Calibri" w:cs="Times New Roman"/>
        <w:b/>
        <w:sz w:val="16"/>
        <w:szCs w:val="16"/>
      </w:rPr>
      <w:t>106</w:t>
    </w:r>
    <w:r w:rsidRPr="00B95ED7">
      <w:rPr>
        <w:rFonts w:eastAsia="Calibri" w:cs="Times New Roman"/>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1398A" w14:textId="77777777" w:rsidR="00D26952" w:rsidRDefault="00D26952" w:rsidP="00D26952">
      <w:pPr>
        <w:spacing w:after="0" w:line="240" w:lineRule="auto"/>
      </w:pPr>
      <w:r>
        <w:separator/>
      </w:r>
    </w:p>
  </w:footnote>
  <w:footnote w:type="continuationSeparator" w:id="0">
    <w:p w14:paraId="27B7CE8F" w14:textId="77777777" w:rsidR="00D26952" w:rsidRDefault="00D26952" w:rsidP="00D2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D167" w14:textId="17C89C73" w:rsidR="00D26952" w:rsidRDefault="00D26952">
    <w:pPr>
      <w:pStyle w:val="En-tte"/>
    </w:pPr>
    <w:r>
      <w:rPr>
        <w:noProof/>
        <w:lang w:eastAsia="fr-FR"/>
      </w:rPr>
      <w:drawing>
        <wp:anchor distT="0" distB="0" distL="114300" distR="114300" simplePos="0" relativeHeight="251659264" behindDoc="0" locked="0" layoutInCell="1" allowOverlap="1" wp14:anchorId="0626B0FC" wp14:editId="4FE8E544">
          <wp:simplePos x="0" y="0"/>
          <wp:positionH relativeFrom="column">
            <wp:posOffset>-654755</wp:posOffset>
          </wp:positionH>
          <wp:positionV relativeFrom="paragraph">
            <wp:posOffset>-102235</wp:posOffset>
          </wp:positionV>
          <wp:extent cx="6915600" cy="1270800"/>
          <wp:effectExtent l="0" t="0" r="0" b="5715"/>
          <wp:wrapNone/>
          <wp:docPr id="333168752" name="Image 33316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417C18"/>
    <w:multiLevelType w:val="hybridMultilevel"/>
    <w:tmpl w:val="ECC4D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396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2"/>
    <w:rsid w:val="00243681"/>
    <w:rsid w:val="003C1133"/>
    <w:rsid w:val="005C6E90"/>
    <w:rsid w:val="006D1A1D"/>
    <w:rsid w:val="006F6203"/>
    <w:rsid w:val="008D02CE"/>
    <w:rsid w:val="00C568E0"/>
    <w:rsid w:val="00CD1BA8"/>
    <w:rsid w:val="00D2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7AA85"/>
  <w15:chartTrackingRefBased/>
  <w15:docId w15:val="{0452E52A-5153-489D-89F3-D4E820A1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952"/>
    <w:pPr>
      <w:spacing w:after="120" w:line="288" w:lineRule="auto"/>
    </w:pPr>
    <w:rPr>
      <w:rFonts w:ascii="Arial" w:hAnsi="Arial"/>
      <w:color w:val="404040" w:themeColor="text1" w:themeTint="BF"/>
      <w:kern w:val="0"/>
      <w14:ligatures w14:val="none"/>
    </w:rPr>
  </w:style>
  <w:style w:type="paragraph" w:styleId="Titre1">
    <w:name w:val="heading 1"/>
    <w:basedOn w:val="Normal"/>
    <w:next w:val="Normal"/>
    <w:link w:val="Titre1Car"/>
    <w:uiPriority w:val="9"/>
    <w:qFormat/>
    <w:rsid w:val="00D26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6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69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69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69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69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69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69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69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69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69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69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69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69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69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69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69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6952"/>
    <w:rPr>
      <w:rFonts w:eastAsiaTheme="majorEastAsia" w:cstheme="majorBidi"/>
      <w:color w:val="272727" w:themeColor="text1" w:themeTint="D8"/>
    </w:rPr>
  </w:style>
  <w:style w:type="paragraph" w:styleId="Titre">
    <w:name w:val="Title"/>
    <w:basedOn w:val="Normal"/>
    <w:next w:val="Normal"/>
    <w:link w:val="TitreCar"/>
    <w:uiPriority w:val="10"/>
    <w:qFormat/>
    <w:rsid w:val="00D26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69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69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69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6952"/>
    <w:pPr>
      <w:spacing w:before="160"/>
      <w:jc w:val="center"/>
    </w:pPr>
    <w:rPr>
      <w:i/>
      <w:iCs/>
    </w:rPr>
  </w:style>
  <w:style w:type="character" w:customStyle="1" w:styleId="CitationCar">
    <w:name w:val="Citation Car"/>
    <w:basedOn w:val="Policepardfaut"/>
    <w:link w:val="Citation"/>
    <w:uiPriority w:val="29"/>
    <w:rsid w:val="00D26952"/>
    <w:rPr>
      <w:i/>
      <w:iCs/>
      <w:color w:val="404040" w:themeColor="text1" w:themeTint="BF"/>
    </w:rPr>
  </w:style>
  <w:style w:type="paragraph" w:styleId="Paragraphedeliste">
    <w:name w:val="List Paragraph"/>
    <w:basedOn w:val="Normal"/>
    <w:uiPriority w:val="34"/>
    <w:qFormat/>
    <w:rsid w:val="00D26952"/>
    <w:pPr>
      <w:ind w:left="720"/>
      <w:contextualSpacing/>
    </w:pPr>
  </w:style>
  <w:style w:type="character" w:styleId="Accentuationintense">
    <w:name w:val="Intense Emphasis"/>
    <w:basedOn w:val="Policepardfaut"/>
    <w:uiPriority w:val="21"/>
    <w:qFormat/>
    <w:rsid w:val="00D26952"/>
    <w:rPr>
      <w:i/>
      <w:iCs/>
      <w:color w:val="0F4761" w:themeColor="accent1" w:themeShade="BF"/>
    </w:rPr>
  </w:style>
  <w:style w:type="paragraph" w:styleId="Citationintense">
    <w:name w:val="Intense Quote"/>
    <w:basedOn w:val="Normal"/>
    <w:next w:val="Normal"/>
    <w:link w:val="CitationintenseCar"/>
    <w:uiPriority w:val="30"/>
    <w:qFormat/>
    <w:rsid w:val="00D26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6952"/>
    <w:rPr>
      <w:i/>
      <w:iCs/>
      <w:color w:val="0F4761" w:themeColor="accent1" w:themeShade="BF"/>
    </w:rPr>
  </w:style>
  <w:style w:type="character" w:styleId="Rfrenceintense">
    <w:name w:val="Intense Reference"/>
    <w:basedOn w:val="Policepardfaut"/>
    <w:uiPriority w:val="32"/>
    <w:qFormat/>
    <w:rsid w:val="00D26952"/>
    <w:rPr>
      <w:b/>
      <w:bCs/>
      <w:smallCaps/>
      <w:color w:val="0F4761" w:themeColor="accent1" w:themeShade="BF"/>
      <w:spacing w:val="5"/>
    </w:rPr>
  </w:style>
  <w:style w:type="paragraph" w:styleId="En-tte">
    <w:name w:val="header"/>
    <w:basedOn w:val="Normal"/>
    <w:link w:val="En-tteCar"/>
    <w:uiPriority w:val="99"/>
    <w:unhideWhenUsed/>
    <w:rsid w:val="00D26952"/>
    <w:pPr>
      <w:tabs>
        <w:tab w:val="center" w:pos="4536"/>
        <w:tab w:val="right" w:pos="9072"/>
      </w:tabs>
      <w:spacing w:after="0" w:line="240" w:lineRule="auto"/>
    </w:pPr>
  </w:style>
  <w:style w:type="character" w:customStyle="1" w:styleId="En-tteCar">
    <w:name w:val="En-tête Car"/>
    <w:basedOn w:val="Policepardfaut"/>
    <w:link w:val="En-tte"/>
    <w:uiPriority w:val="99"/>
    <w:rsid w:val="00D26952"/>
    <w:rPr>
      <w:rFonts w:ascii="Arial" w:hAnsi="Arial"/>
      <w:color w:val="404040" w:themeColor="text1" w:themeTint="BF"/>
      <w:kern w:val="0"/>
      <w14:ligatures w14:val="none"/>
    </w:rPr>
  </w:style>
  <w:style w:type="paragraph" w:styleId="Pieddepage">
    <w:name w:val="footer"/>
    <w:basedOn w:val="Normal"/>
    <w:link w:val="PieddepageCar"/>
    <w:uiPriority w:val="99"/>
    <w:unhideWhenUsed/>
    <w:rsid w:val="00D269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6952"/>
    <w:rPr>
      <w:rFonts w:ascii="Arial" w:hAnsi="Arial"/>
      <w:color w:val="404040" w:themeColor="text1" w:themeTint="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796</Words>
  <Characters>4378</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LE LIDEC</dc:creator>
  <cp:keywords/>
  <dc:description/>
  <cp:lastModifiedBy>Annabel LE LIDEC</cp:lastModifiedBy>
  <cp:revision>3</cp:revision>
  <dcterms:created xsi:type="dcterms:W3CDTF">2025-05-13T09:27:00Z</dcterms:created>
  <dcterms:modified xsi:type="dcterms:W3CDTF">2025-05-13T11:25:00Z</dcterms:modified>
</cp:coreProperties>
</file>