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9809" w14:textId="48A5B38E" w:rsidR="00930414" w:rsidRDefault="007221A0">
      <w:pPr>
        <w:pStyle w:val="P68B1DB1-Normal1"/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56323EA" wp14:editId="1F853CD5">
            <wp:simplePos x="0" y="0"/>
            <wp:positionH relativeFrom="column">
              <wp:posOffset>24130</wp:posOffset>
            </wp:positionH>
            <wp:positionV relativeFrom="paragraph">
              <wp:posOffset>-13970</wp:posOffset>
            </wp:positionV>
            <wp:extent cx="1466850" cy="6144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064" cy="6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AA25719" wp14:editId="7872F466">
            <wp:simplePos x="0" y="0"/>
            <wp:positionH relativeFrom="column">
              <wp:posOffset>3938905</wp:posOffset>
            </wp:positionH>
            <wp:positionV relativeFrom="paragraph">
              <wp:posOffset>-4445</wp:posOffset>
            </wp:positionV>
            <wp:extent cx="1767205" cy="600710"/>
            <wp:effectExtent l="0" t="0" r="4445" b="8890"/>
            <wp:wrapNone/>
            <wp:docPr id="4" name="Image 4" descr="C:\Users\hugues.boiteau\AppData\Local\Temp\Temp1_logos_Inserm.zip\logos_Inserm\Logo_Inserm_Seul_partenariats\InsermSeul_Rvb_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gues.boiteau\AppData\Local\Temp\Temp1_logos_Inserm.zip\logos_Inserm\Logo_Inserm_Seul_partenariats\InsermSeul_Rvb__noi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365635" w14:textId="77777777" w:rsidR="00930414" w:rsidRDefault="0093041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095E6EE" w14:textId="77777777" w:rsidR="00930414" w:rsidRDefault="0093041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52B427B" w14:textId="77777777" w:rsidR="003A322A" w:rsidRDefault="003A322A">
      <w:pPr>
        <w:pStyle w:val="P68B1DB1-Normal2"/>
        <w:spacing w:after="0" w:line="240" w:lineRule="auto"/>
        <w:jc w:val="center"/>
      </w:pPr>
    </w:p>
    <w:p w14:paraId="1F0F4C9C" w14:textId="410C6FD6" w:rsidR="00930414" w:rsidRDefault="00F54EB2">
      <w:pPr>
        <w:pStyle w:val="P68B1DB1-Normal2"/>
        <w:spacing w:after="0" w:line="240" w:lineRule="auto"/>
        <w:jc w:val="center"/>
      </w:pPr>
      <w:r>
        <w:t>Inserm/JSPS Program</w:t>
      </w:r>
    </w:p>
    <w:p w14:paraId="28FAC308" w14:textId="77777777" w:rsidR="00930414" w:rsidRDefault="0093041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3718D2E3" w14:textId="66729867" w:rsidR="00930414" w:rsidRDefault="00F54EB2">
      <w:pPr>
        <w:pStyle w:val="P68B1DB1-Normal2"/>
        <w:spacing w:after="0" w:line="240" w:lineRule="auto"/>
        <w:jc w:val="center"/>
      </w:pPr>
      <w:r>
        <w:t>202</w:t>
      </w:r>
      <w:r w:rsidR="00770525">
        <w:t>6</w:t>
      </w:r>
      <w:r>
        <w:t xml:space="preserve"> call for proposals for a joint seminar in </w:t>
      </w:r>
      <w:r w:rsidR="00893168">
        <w:t xml:space="preserve">France </w:t>
      </w:r>
      <w:r>
        <w:t>in 202</w:t>
      </w:r>
      <w:r w:rsidR="00770525">
        <w:t>7</w:t>
      </w:r>
    </w:p>
    <w:p w14:paraId="4E5F2528" w14:textId="77777777" w:rsidR="00930414" w:rsidRDefault="00930414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</w:p>
    <w:p w14:paraId="33214F71" w14:textId="77777777" w:rsidR="00930414" w:rsidRDefault="00930414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</w:p>
    <w:p w14:paraId="49E6EB2C" w14:textId="742C33FD" w:rsidR="00930414" w:rsidRPr="00633437" w:rsidRDefault="00B863FF">
      <w:pPr>
        <w:pStyle w:val="P68B1DB1-Normal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highlight w:val="none"/>
        </w:rPr>
      </w:pPr>
      <w:r w:rsidRPr="00633437">
        <w:rPr>
          <w:highlight w:val="none"/>
        </w:rPr>
        <w:t>DEADLINE OF THE CALL FOR</w:t>
      </w:r>
      <w:r w:rsidR="00F54EB2" w:rsidRPr="00633437">
        <w:rPr>
          <w:highlight w:val="none"/>
        </w:rPr>
        <w:t xml:space="preserve"> PRO</w:t>
      </w:r>
      <w:r w:rsidRPr="00633437">
        <w:rPr>
          <w:highlight w:val="none"/>
        </w:rPr>
        <w:t>POSALS</w:t>
      </w:r>
    </w:p>
    <w:p w14:paraId="3AD8CF2D" w14:textId="2550A658" w:rsidR="00930414" w:rsidRPr="00633437" w:rsidRDefault="000E73F9">
      <w:pPr>
        <w:pStyle w:val="P68B1DB1-Normal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highlight w:val="none"/>
        </w:rPr>
      </w:pPr>
      <w:r>
        <w:rPr>
          <w:highlight w:val="none"/>
        </w:rPr>
        <w:t>3</w:t>
      </w:r>
      <w:r w:rsidR="00F54EB2" w:rsidRPr="00633437">
        <w:rPr>
          <w:highlight w:val="none"/>
        </w:rPr>
        <w:t xml:space="preserve"> September 202</w:t>
      </w:r>
      <w:r>
        <w:rPr>
          <w:highlight w:val="none"/>
        </w:rPr>
        <w:t>6</w:t>
      </w:r>
      <w:r w:rsidR="00F54EB2" w:rsidRPr="00633437">
        <w:rPr>
          <w:highlight w:val="none"/>
        </w:rPr>
        <w:t xml:space="preserve"> at 10.00 (CEST)</w:t>
      </w:r>
    </w:p>
    <w:p w14:paraId="70588F8D" w14:textId="5385A7EB" w:rsidR="00930414" w:rsidRDefault="00930414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</w:p>
    <w:p w14:paraId="4987C906" w14:textId="77777777" w:rsidR="00930414" w:rsidRDefault="00930414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</w:p>
    <w:p w14:paraId="02742614" w14:textId="0757EDC1" w:rsidR="00930414" w:rsidRDefault="00F54EB2">
      <w:pPr>
        <w:pStyle w:val="P68B1DB1-Normal5"/>
        <w:spacing w:after="0" w:line="240" w:lineRule="auto"/>
        <w:jc w:val="both"/>
      </w:pPr>
      <w:r>
        <w:t xml:space="preserve">Since 1974, Inserm and JSPS have </w:t>
      </w:r>
      <w:r w:rsidR="0097757E">
        <w:t>given</w:t>
      </w:r>
      <w:r>
        <w:t xml:space="preserve"> researchers an opportunity to meet</w:t>
      </w:r>
      <w:r w:rsidR="0097757E">
        <w:t xml:space="preserve"> to develop</w:t>
      </w:r>
      <w:r>
        <w:t xml:space="preserve"> new scientific and technological cooperation of excellence and with high added value, between Inserm research laboratories and the Japanese scientific community. </w:t>
      </w:r>
    </w:p>
    <w:p w14:paraId="0B4ACC9C" w14:textId="0921A06A" w:rsidR="00930414" w:rsidRDefault="00F54EB2">
      <w:pPr>
        <w:pStyle w:val="P68B1DB1-Normal6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MS PMincho" w:hAnsi="Arial" w:cs="Arial"/>
          <w:b/>
        </w:rPr>
        <w:t>In 202</w:t>
      </w:r>
      <w:r w:rsidR="00770525">
        <w:rPr>
          <w:rFonts w:ascii="Arial" w:eastAsia="MS PMincho" w:hAnsi="Arial" w:cs="Arial"/>
          <w:b/>
        </w:rPr>
        <w:t>6</w:t>
      </w:r>
      <w:r>
        <w:rPr>
          <w:rFonts w:ascii="Arial" w:eastAsia="MS PMincho" w:hAnsi="Arial" w:cs="Arial"/>
          <w:b/>
        </w:rPr>
        <w:t>,</w:t>
      </w:r>
      <w:r>
        <w:rPr>
          <w:rFonts w:ascii="Arial" w:eastAsia="MS PMincho" w:hAnsi="Arial" w:cs="Arial"/>
        </w:rPr>
        <w:t xml:space="preserve"> Inserm and JSPS will provide financial support for the </w:t>
      </w:r>
      <w:proofErr w:type="spellStart"/>
      <w:r>
        <w:rPr>
          <w:rFonts w:ascii="Arial" w:eastAsia="MS PMincho" w:hAnsi="Arial" w:cs="Arial"/>
        </w:rPr>
        <w:t>organisation</w:t>
      </w:r>
      <w:proofErr w:type="spellEnd"/>
      <w:r>
        <w:rPr>
          <w:rFonts w:ascii="Arial" w:eastAsia="MS PMincho" w:hAnsi="Arial" w:cs="Arial"/>
        </w:rPr>
        <w:t xml:space="preserve"> of</w:t>
      </w:r>
      <w:r w:rsidR="0097757E">
        <w:rPr>
          <w:rFonts w:ascii="Arial" w:eastAsia="MS PMincho" w:hAnsi="Arial" w:cs="Arial"/>
        </w:rPr>
        <w:t xml:space="preserve"> </w:t>
      </w:r>
      <w:r>
        <w:rPr>
          <w:rFonts w:ascii="Arial" w:hAnsi="Arial" w:cs="Arial"/>
        </w:rPr>
        <w:t xml:space="preserve">a joint scientific seminar </w:t>
      </w:r>
      <w:r>
        <w:rPr>
          <w:rFonts w:ascii="Arial" w:eastAsia="Times New Roman" w:hAnsi="Arial" w:cs="Arial"/>
          <w:b/>
        </w:rPr>
        <w:t>in</w:t>
      </w:r>
      <w:r w:rsidR="0097757E">
        <w:rPr>
          <w:rFonts w:ascii="Arial" w:eastAsia="Times New Roman" w:hAnsi="Arial" w:cs="Arial"/>
          <w:b/>
        </w:rPr>
        <w:t xml:space="preserve"> </w:t>
      </w:r>
      <w:r w:rsidR="00770525">
        <w:rPr>
          <w:rFonts w:ascii="Arial" w:eastAsia="Times New Roman" w:hAnsi="Arial" w:cs="Arial"/>
          <w:b/>
        </w:rPr>
        <w:t>France</w:t>
      </w:r>
      <w:r w:rsidR="006A7D97">
        <w:rPr>
          <w:rFonts w:ascii="Arial" w:eastAsia="Times New Roman" w:hAnsi="Arial" w:cs="Arial"/>
          <w:b/>
        </w:rPr>
        <w:t xml:space="preserve"> for 202</w:t>
      </w:r>
      <w:r w:rsidR="00770525">
        <w:rPr>
          <w:rFonts w:ascii="Arial" w:eastAsia="Times New Roman" w:hAnsi="Arial" w:cs="Arial"/>
          <w:b/>
        </w:rPr>
        <w:t>7</w:t>
      </w:r>
      <w:r>
        <w:rPr>
          <w:rFonts w:ascii="Arial" w:eastAsia="Times New Roman" w:hAnsi="Arial" w:cs="Arial"/>
          <w:b/>
        </w:rPr>
        <w:t xml:space="preserve">. </w:t>
      </w:r>
    </w:p>
    <w:p w14:paraId="1F4A9326" w14:textId="415159EF" w:rsidR="00930414" w:rsidRDefault="00930414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0AFBD161" w14:textId="77777777" w:rsidR="00930414" w:rsidRDefault="00F54EB2">
      <w:pPr>
        <w:pStyle w:val="P68B1DB1-Normal7"/>
        <w:widowControl w:val="0"/>
        <w:numPr>
          <w:ilvl w:val="0"/>
          <w:numId w:val="1"/>
        </w:numPr>
        <w:spacing w:after="0" w:line="240" w:lineRule="auto"/>
        <w:jc w:val="both"/>
      </w:pPr>
      <w:r>
        <w:t xml:space="preserve">Theme of the seminar </w:t>
      </w:r>
    </w:p>
    <w:p w14:paraId="799C2F08" w14:textId="77777777" w:rsidR="00930414" w:rsidRDefault="00930414">
      <w:pPr>
        <w:widowControl w:val="0"/>
        <w:spacing w:after="0" w:line="240" w:lineRule="auto"/>
        <w:ind w:left="420"/>
        <w:jc w:val="both"/>
        <w:rPr>
          <w:rFonts w:ascii="Arial" w:eastAsia="Calibri" w:hAnsi="Arial" w:cs="Arial"/>
          <w:b/>
          <w:i/>
          <w:sz w:val="20"/>
        </w:rPr>
      </w:pPr>
    </w:p>
    <w:p w14:paraId="77C539F8" w14:textId="77777777" w:rsidR="00930414" w:rsidRDefault="00F54EB2">
      <w:pPr>
        <w:pStyle w:val="P68B1DB1-Normal8"/>
        <w:spacing w:after="0" w:line="240" w:lineRule="auto"/>
        <w:jc w:val="both"/>
      </w:pPr>
      <w:r>
        <w:t>The theme of the seminar will be Life and Health Sciences. Priority will be given to proposals in the following areas:</w:t>
      </w:r>
    </w:p>
    <w:p w14:paraId="644DC6DE" w14:textId="77777777" w:rsidR="00930414" w:rsidRDefault="00F54EB2">
      <w:pPr>
        <w:pStyle w:val="P68B1DB1-Normal9"/>
        <w:spacing w:after="0" w:line="240" w:lineRule="auto"/>
        <w:ind w:leftChars="350" w:left="770"/>
        <w:rPr>
          <w:rFonts w:eastAsia="Arial Unicode MS"/>
        </w:rPr>
      </w:pPr>
      <w:r>
        <w:t xml:space="preserve">- Cancer, </w:t>
      </w:r>
    </w:p>
    <w:p w14:paraId="16D32285" w14:textId="77777777" w:rsidR="00930414" w:rsidRDefault="00F54EB2">
      <w:pPr>
        <w:pStyle w:val="P68B1DB1-Normal10"/>
        <w:spacing w:after="0" w:line="240" w:lineRule="auto"/>
        <w:ind w:leftChars="350" w:left="770"/>
      </w:pPr>
      <w:r>
        <w:t>- Healthy ageing (nutrition/health, neurodegenerative diseases),</w:t>
      </w:r>
    </w:p>
    <w:p w14:paraId="3CE00310" w14:textId="77777777" w:rsidR="00930414" w:rsidRDefault="00F54EB2">
      <w:pPr>
        <w:pStyle w:val="P68B1DB1-Normal10"/>
        <w:spacing w:after="0" w:line="240" w:lineRule="auto"/>
        <w:ind w:leftChars="350" w:left="770"/>
      </w:pPr>
      <w:r>
        <w:t>- Regenerative medicine,</w:t>
      </w:r>
    </w:p>
    <w:p w14:paraId="78E23FDF" w14:textId="77777777" w:rsidR="00930414" w:rsidRDefault="00F54EB2">
      <w:pPr>
        <w:pStyle w:val="P68B1DB1-Normal10"/>
        <w:spacing w:after="0" w:line="240" w:lineRule="auto"/>
        <w:ind w:leftChars="350" w:left="770"/>
      </w:pPr>
      <w:r>
        <w:t xml:space="preserve">- Biomedical imaging, </w:t>
      </w:r>
    </w:p>
    <w:p w14:paraId="1AB93DA8" w14:textId="77777777" w:rsidR="00930414" w:rsidRDefault="00F54EB2">
      <w:pPr>
        <w:pStyle w:val="P68B1DB1-Normal10"/>
        <w:spacing w:after="0" w:line="240" w:lineRule="auto"/>
        <w:ind w:leftChars="350" w:left="770"/>
      </w:pPr>
      <w:r>
        <w:t>- Health technologies (omics technologies, robotics),</w:t>
      </w:r>
    </w:p>
    <w:p w14:paraId="4F7F2262" w14:textId="77777777" w:rsidR="00930414" w:rsidRDefault="00F54EB2">
      <w:pPr>
        <w:pStyle w:val="P68B1DB1-Normal10"/>
        <w:spacing w:after="0" w:line="240" w:lineRule="auto"/>
        <w:ind w:leftChars="350" w:left="770"/>
      </w:pPr>
      <w:r>
        <w:t>- Personalized medicine.</w:t>
      </w:r>
    </w:p>
    <w:p w14:paraId="2FE751A5" w14:textId="68F40B80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</w:p>
    <w:p w14:paraId="5833FE75" w14:textId="77777777" w:rsidR="00930414" w:rsidRDefault="00F54EB2">
      <w:pPr>
        <w:pStyle w:val="P68B1DB1-Normal7"/>
        <w:widowControl w:val="0"/>
        <w:numPr>
          <w:ilvl w:val="0"/>
          <w:numId w:val="1"/>
        </w:numPr>
        <w:spacing w:after="0" w:line="240" w:lineRule="auto"/>
        <w:jc w:val="both"/>
      </w:pPr>
      <w:r>
        <w:t>Format of the seminar</w:t>
      </w:r>
    </w:p>
    <w:p w14:paraId="5DB5AE56" w14:textId="77777777" w:rsidR="00930414" w:rsidRDefault="00930414">
      <w:pPr>
        <w:widowControl w:val="0"/>
        <w:spacing w:after="0" w:line="240" w:lineRule="auto"/>
        <w:ind w:left="420"/>
        <w:jc w:val="both"/>
        <w:rPr>
          <w:rFonts w:ascii="Arial" w:eastAsia="Calibri" w:hAnsi="Arial" w:cs="Arial"/>
          <w:i/>
          <w:sz w:val="20"/>
        </w:rPr>
      </w:pPr>
    </w:p>
    <w:p w14:paraId="1DEDFF4C" w14:textId="5385FDFA" w:rsidR="00930414" w:rsidRDefault="00F54EB2">
      <w:pPr>
        <w:pStyle w:val="P68B1DB1-Normal8"/>
        <w:widowControl w:val="0"/>
        <w:spacing w:after="0" w:line="240" w:lineRule="auto"/>
        <w:jc w:val="both"/>
      </w:pPr>
      <w:r>
        <w:t xml:space="preserve">The seminar will involve a small number of experts from at least two different laboratories (minimum 1 per country), among whom the participation of young researchers is highly anticipated. It will have to be coordinated by a French researcher and a Japanese researcher. </w:t>
      </w:r>
    </w:p>
    <w:p w14:paraId="1B0EA2CE" w14:textId="1B8889D6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0DD9490E" w14:textId="2CBD2953" w:rsidR="00930414" w:rsidRDefault="00F54EB2">
      <w:pPr>
        <w:pStyle w:val="P68B1DB1-Normal8"/>
        <w:widowControl w:val="0"/>
        <w:spacing w:after="0" w:line="240" w:lineRule="auto"/>
        <w:jc w:val="both"/>
      </w:pPr>
      <w:r>
        <w:t xml:space="preserve">The duration of </w:t>
      </w:r>
      <w:r w:rsidR="0097757E">
        <w:t>the seminar</w:t>
      </w:r>
      <w:r>
        <w:t xml:space="preserve"> is the period during which a seminar takes place. Days spent on travel, preparatory meetings and debriefings are not counted </w:t>
      </w:r>
      <w:r w:rsidR="0097757E">
        <w:t>in</w:t>
      </w:r>
      <w:r>
        <w:t xml:space="preserve"> the duration of the seminar.</w:t>
      </w:r>
    </w:p>
    <w:p w14:paraId="1B8073EF" w14:textId="77777777" w:rsidR="00930414" w:rsidRPr="0097757E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/>
          <w:sz w:val="20"/>
        </w:rPr>
      </w:pPr>
    </w:p>
    <w:p w14:paraId="225FBA3E" w14:textId="59CDF1E9" w:rsidR="00930414" w:rsidRPr="0097757E" w:rsidRDefault="00F54EB2">
      <w:pPr>
        <w:pStyle w:val="P68B1DB1-Normal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auto"/>
          <w:highlight w:val="none"/>
        </w:rPr>
      </w:pPr>
      <w:r w:rsidRPr="0097757E">
        <w:rPr>
          <w:color w:val="auto"/>
          <w:highlight w:val="none"/>
        </w:rPr>
        <w:t xml:space="preserve">The seminar must take place in </w:t>
      </w:r>
      <w:r w:rsidR="00A874BB">
        <w:rPr>
          <w:color w:val="auto"/>
          <w:highlight w:val="none"/>
        </w:rPr>
        <w:t>France</w:t>
      </w:r>
      <w:r w:rsidRPr="0097757E">
        <w:rPr>
          <w:color w:val="auto"/>
          <w:highlight w:val="none"/>
        </w:rPr>
        <w:t xml:space="preserve"> over 2 to 3 days between April and 31 December 202</w:t>
      </w:r>
      <w:r w:rsidR="007C16E3">
        <w:rPr>
          <w:color w:val="auto"/>
          <w:highlight w:val="none"/>
        </w:rPr>
        <w:t>7</w:t>
      </w:r>
      <w:r w:rsidR="00C3738C">
        <w:rPr>
          <w:color w:val="auto"/>
          <w:highlight w:val="none"/>
        </w:rPr>
        <w:t>.</w:t>
      </w:r>
    </w:p>
    <w:p w14:paraId="69EE5710" w14:textId="3CE58A08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</w:p>
    <w:p w14:paraId="778EE510" w14:textId="77777777" w:rsidR="00930414" w:rsidRDefault="00F54EB2">
      <w:pPr>
        <w:pStyle w:val="P68B1DB1-Normal7"/>
        <w:widowControl w:val="0"/>
        <w:numPr>
          <w:ilvl w:val="0"/>
          <w:numId w:val="1"/>
        </w:numPr>
        <w:spacing w:after="0" w:line="240" w:lineRule="auto"/>
        <w:jc w:val="both"/>
      </w:pPr>
      <w:r>
        <w:t>Eligibility criteria for seminar proposals</w:t>
      </w:r>
    </w:p>
    <w:p w14:paraId="3FF6985D" w14:textId="77777777" w:rsidR="00930414" w:rsidRDefault="00930414">
      <w:pPr>
        <w:spacing w:after="0" w:line="240" w:lineRule="auto"/>
        <w:jc w:val="both"/>
        <w:rPr>
          <w:rFonts w:ascii="Arial" w:eastAsia="SimSun" w:hAnsi="Arial" w:cs="Arial"/>
          <w:sz w:val="20"/>
        </w:rPr>
      </w:pPr>
    </w:p>
    <w:p w14:paraId="724003DF" w14:textId="72B5D587" w:rsidR="00930414" w:rsidRDefault="00F54EB2">
      <w:pPr>
        <w:pStyle w:val="P68B1DB1-Normal12"/>
        <w:spacing w:after="0" w:line="240" w:lineRule="auto"/>
        <w:jc w:val="both"/>
      </w:pPr>
      <w:r>
        <w:t xml:space="preserve">The French coordinator and </w:t>
      </w:r>
      <w:r w:rsidR="0097757E">
        <w:t>speakers</w:t>
      </w:r>
      <w:r>
        <w:t xml:space="preserve"> must work in an Inserm laboratory.</w:t>
      </w:r>
    </w:p>
    <w:p w14:paraId="0DE95C39" w14:textId="4CED3AA9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/>
          <w:sz w:val="20"/>
        </w:rPr>
      </w:pPr>
    </w:p>
    <w:p w14:paraId="4C83A9CF" w14:textId="77777777" w:rsidR="00930414" w:rsidRDefault="00F54EB2">
      <w:pPr>
        <w:pStyle w:val="P68B1DB1-Normal7"/>
        <w:widowControl w:val="0"/>
        <w:numPr>
          <w:ilvl w:val="0"/>
          <w:numId w:val="1"/>
        </w:numPr>
        <w:spacing w:after="0" w:line="240" w:lineRule="auto"/>
        <w:jc w:val="both"/>
      </w:pPr>
      <w:r>
        <w:t>Selection criteria for seminar proposals</w:t>
      </w:r>
    </w:p>
    <w:p w14:paraId="72163F64" w14:textId="77777777" w:rsidR="00930414" w:rsidRDefault="00930414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5A8ACD52" w14:textId="77777777" w:rsidR="00930414" w:rsidRDefault="00F54EB2">
      <w:pPr>
        <w:pStyle w:val="P68B1DB1-Normal8"/>
        <w:spacing w:after="0" w:line="240" w:lineRule="auto"/>
        <w:jc w:val="both"/>
      </w:pPr>
      <w:r>
        <w:t xml:space="preserve">The submitted seminar projects will be evaluated independently and then jointly selected by Inserm and JSPS. </w:t>
      </w:r>
    </w:p>
    <w:p w14:paraId="19F3B582" w14:textId="77777777" w:rsidR="00930414" w:rsidRDefault="00930414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3586F33A" w14:textId="77777777" w:rsidR="00930414" w:rsidRDefault="00F54EB2">
      <w:pPr>
        <w:pStyle w:val="P68B1DB1-Normal8"/>
        <w:spacing w:after="0" w:line="240" w:lineRule="auto"/>
        <w:jc w:val="both"/>
      </w:pPr>
      <w:r>
        <w:t xml:space="preserve">The selection of seminar projects will focus on: </w:t>
      </w:r>
    </w:p>
    <w:p w14:paraId="152DB7FD" w14:textId="13484CD0" w:rsidR="00930414" w:rsidRDefault="00F54EB2">
      <w:pPr>
        <w:pStyle w:val="P68B1DB1-Normal12"/>
        <w:widowControl w:val="0"/>
        <w:numPr>
          <w:ilvl w:val="0"/>
          <w:numId w:val="2"/>
        </w:numPr>
        <w:spacing w:after="0" w:line="240" w:lineRule="auto"/>
        <w:jc w:val="both"/>
      </w:pPr>
      <w:r>
        <w:t>scientific excellence and relevance to the t</w:t>
      </w:r>
      <w:r w:rsidR="0097757E">
        <w:t>heme</w:t>
      </w:r>
      <w:r>
        <w:t xml:space="preserve"> of the speakers,</w:t>
      </w:r>
    </w:p>
    <w:p w14:paraId="15F81611" w14:textId="77777777" w:rsidR="00930414" w:rsidRDefault="00F54EB2">
      <w:pPr>
        <w:pStyle w:val="P68B1DB1-Normal12"/>
        <w:widowControl w:val="0"/>
        <w:numPr>
          <w:ilvl w:val="0"/>
          <w:numId w:val="2"/>
        </w:numPr>
        <w:spacing w:after="0" w:line="240" w:lineRule="auto"/>
        <w:jc w:val="both"/>
      </w:pPr>
      <w:r>
        <w:t xml:space="preserve">prospects for cooperation between Inserm and Japan, </w:t>
      </w:r>
    </w:p>
    <w:p w14:paraId="697343A5" w14:textId="77777777" w:rsidR="00930414" w:rsidRDefault="00F54EB2">
      <w:pPr>
        <w:pStyle w:val="P68B1DB1-Normal12"/>
        <w:widowControl w:val="0"/>
        <w:numPr>
          <w:ilvl w:val="0"/>
          <w:numId w:val="2"/>
        </w:numPr>
        <w:spacing w:after="0" w:line="240" w:lineRule="auto"/>
        <w:jc w:val="both"/>
      </w:pPr>
      <w:r>
        <w:t>the novelty of the collaborations envisaged,</w:t>
      </w:r>
    </w:p>
    <w:p w14:paraId="05F6F6FF" w14:textId="77777777" w:rsidR="00930414" w:rsidRDefault="00F54EB2">
      <w:pPr>
        <w:pStyle w:val="P68B1DB1-Normal12"/>
        <w:widowControl w:val="0"/>
        <w:numPr>
          <w:ilvl w:val="0"/>
          <w:numId w:val="2"/>
        </w:numPr>
        <w:spacing w:after="0" w:line="240" w:lineRule="auto"/>
        <w:jc w:val="both"/>
      </w:pPr>
      <w:r>
        <w:t>the added value of cooperation between Inserm and Japan in the targeted area,</w:t>
      </w:r>
    </w:p>
    <w:p w14:paraId="6E6E573F" w14:textId="77777777" w:rsidR="00930414" w:rsidRDefault="00F54EB2">
      <w:pPr>
        <w:pStyle w:val="P68B1DB1-Normal12"/>
        <w:widowControl w:val="0"/>
        <w:numPr>
          <w:ilvl w:val="0"/>
          <w:numId w:val="2"/>
        </w:numPr>
        <w:spacing w:after="0" w:line="240" w:lineRule="auto"/>
        <w:jc w:val="both"/>
      </w:pPr>
      <w:r>
        <w:t>the feasibility of the seminar (including in terms of budget),</w:t>
      </w:r>
    </w:p>
    <w:p w14:paraId="1A15F816" w14:textId="77777777" w:rsidR="00930414" w:rsidRDefault="00F54EB2">
      <w:pPr>
        <w:pStyle w:val="P68B1DB1-Normal12"/>
        <w:widowControl w:val="0"/>
        <w:numPr>
          <w:ilvl w:val="0"/>
          <w:numId w:val="2"/>
        </w:numPr>
        <w:spacing w:after="0" w:line="240" w:lineRule="auto"/>
        <w:jc w:val="both"/>
      </w:pPr>
      <w:r>
        <w:t xml:space="preserve">the participation of young statutory French researchers. </w:t>
      </w:r>
    </w:p>
    <w:p w14:paraId="34F075BC" w14:textId="77777777" w:rsidR="00F76DF9" w:rsidRDefault="00F76DF9" w:rsidP="00F76DF9">
      <w:pPr>
        <w:pStyle w:val="P68B1DB1-Normal12"/>
        <w:widowControl w:val="0"/>
        <w:spacing w:after="0" w:line="240" w:lineRule="auto"/>
        <w:ind w:left="1004"/>
        <w:jc w:val="both"/>
      </w:pPr>
    </w:p>
    <w:p w14:paraId="0CC99521" w14:textId="77777777" w:rsidR="00930414" w:rsidRDefault="00F54EB2">
      <w:pPr>
        <w:pStyle w:val="P68B1DB1-Normal7"/>
        <w:widowControl w:val="0"/>
        <w:numPr>
          <w:ilvl w:val="0"/>
          <w:numId w:val="1"/>
        </w:numPr>
        <w:spacing w:after="0" w:line="240" w:lineRule="auto"/>
        <w:jc w:val="both"/>
      </w:pPr>
      <w:r>
        <w:t>Financing of the seminar</w:t>
      </w:r>
    </w:p>
    <w:p w14:paraId="1EE2CB63" w14:textId="36A859CA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32860E77" w14:textId="0086306D" w:rsidR="00930414" w:rsidRDefault="00F54EB2">
      <w:pPr>
        <w:pStyle w:val="P68B1DB1-Normal8"/>
        <w:widowControl w:val="0"/>
        <w:spacing w:after="0" w:line="240" w:lineRule="auto"/>
        <w:jc w:val="both"/>
      </w:pPr>
      <w:r>
        <w:t xml:space="preserve">Inserm will </w:t>
      </w:r>
      <w:r w:rsidR="00286349">
        <w:t>cover the costs of</w:t>
      </w:r>
      <w:r>
        <w:t>:</w:t>
      </w:r>
    </w:p>
    <w:p w14:paraId="3B7C1FB4" w14:textId="77777777" w:rsidR="001C73AC" w:rsidRDefault="001C73AC" w:rsidP="001C73AC">
      <w:pPr>
        <w:pStyle w:val="P68B1DB1-Normal8"/>
        <w:widowControl w:val="0"/>
        <w:numPr>
          <w:ilvl w:val="0"/>
          <w:numId w:val="4"/>
        </w:numPr>
        <w:spacing w:after="0" w:line="240" w:lineRule="auto"/>
        <w:jc w:val="both"/>
      </w:pPr>
      <w:r>
        <w:t>Local travel expenses, daily allowances, accommodation for participants.</w:t>
      </w:r>
    </w:p>
    <w:p w14:paraId="23D908F8" w14:textId="77777777" w:rsidR="001C73AC" w:rsidRDefault="001C73AC" w:rsidP="001C73AC">
      <w:pPr>
        <w:pStyle w:val="P68B1DB1-Normal8"/>
        <w:widowControl w:val="0"/>
        <w:numPr>
          <w:ilvl w:val="0"/>
          <w:numId w:val="4"/>
        </w:numPr>
        <w:spacing w:after="0" w:line="240" w:lineRule="auto"/>
        <w:jc w:val="both"/>
      </w:pPr>
      <w:r>
        <w:t xml:space="preserve">Costs associated with </w:t>
      </w:r>
      <w:proofErr w:type="spellStart"/>
      <w:r>
        <w:t>organising</w:t>
      </w:r>
      <w:proofErr w:type="spellEnd"/>
      <w:r>
        <w:t xml:space="preserve"> the seminar.</w:t>
      </w:r>
    </w:p>
    <w:p w14:paraId="2044695B" w14:textId="77777777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7B8A971B" w14:textId="7E0462DB" w:rsidR="00930414" w:rsidRPr="00286349" w:rsidRDefault="00F54EB2">
      <w:pPr>
        <w:pStyle w:val="P68B1DB1-Normal13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</w:rPr>
      </w:pPr>
      <w:r w:rsidRPr="00286349">
        <w:rPr>
          <w:color w:val="auto"/>
        </w:rPr>
        <w:t xml:space="preserve">The French budget for the selected seminar will be subject to validation by the International Relations Division of Inserm's Partnerships and External Relations Department and will not exceed €12,000. </w:t>
      </w:r>
    </w:p>
    <w:p w14:paraId="0ED3D8DA" w14:textId="77777777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7032E85A" w14:textId="6B5BE114" w:rsidR="00930414" w:rsidRDefault="00F54EB2">
      <w:pPr>
        <w:pStyle w:val="P68B1DB1-Normal8"/>
        <w:widowControl w:val="0"/>
        <w:spacing w:after="0" w:line="240" w:lineRule="auto"/>
        <w:jc w:val="both"/>
      </w:pPr>
      <w:r>
        <w:t xml:space="preserve">The JSPS will </w:t>
      </w:r>
      <w:r w:rsidR="00286349">
        <w:t>cover the costs of</w:t>
      </w:r>
      <w:r>
        <w:t xml:space="preserve">: </w:t>
      </w:r>
    </w:p>
    <w:p w14:paraId="1C84D2A6" w14:textId="36B55B43" w:rsidR="001C73AC" w:rsidRDefault="001C73AC" w:rsidP="001C73AC">
      <w:pPr>
        <w:pStyle w:val="P68B1DB1-Normal8"/>
        <w:widowControl w:val="0"/>
        <w:numPr>
          <w:ilvl w:val="0"/>
          <w:numId w:val="4"/>
        </w:numPr>
        <w:spacing w:after="0" w:line="240" w:lineRule="auto"/>
        <w:jc w:val="both"/>
      </w:pPr>
      <w:r>
        <w:t>The costs of international travel between Japan and France for its own participants,</w:t>
      </w:r>
    </w:p>
    <w:p w14:paraId="2E91F649" w14:textId="4D20654D" w:rsidR="001C73AC" w:rsidRDefault="004446DD" w:rsidP="001C73AC">
      <w:pPr>
        <w:pStyle w:val="P68B1DB1-Normal8"/>
        <w:widowControl w:val="0"/>
        <w:numPr>
          <w:ilvl w:val="0"/>
          <w:numId w:val="4"/>
        </w:numPr>
        <w:spacing w:after="0" w:line="240" w:lineRule="auto"/>
        <w:jc w:val="both"/>
      </w:pPr>
      <w:r w:rsidRPr="004446DD">
        <w:t>Local travel expenses, daily allowances, accommodation for participants</w:t>
      </w:r>
      <w:r w:rsidR="001C73AC">
        <w:t xml:space="preserve">. </w:t>
      </w:r>
    </w:p>
    <w:p w14:paraId="5E6AD66E" w14:textId="348ABAA0" w:rsidR="00930414" w:rsidRDefault="00930414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/>
          <w:sz w:val="20"/>
        </w:rPr>
      </w:pPr>
    </w:p>
    <w:p w14:paraId="43B135BE" w14:textId="77777777" w:rsidR="00930414" w:rsidRDefault="00F54EB2">
      <w:pPr>
        <w:pStyle w:val="P68B1DB1-Normal7"/>
        <w:widowControl w:val="0"/>
        <w:numPr>
          <w:ilvl w:val="0"/>
          <w:numId w:val="1"/>
        </w:numPr>
        <w:spacing w:after="0" w:line="240" w:lineRule="auto"/>
        <w:jc w:val="both"/>
      </w:pPr>
      <w:r>
        <w:t xml:space="preserve">How to apply </w:t>
      </w:r>
    </w:p>
    <w:p w14:paraId="00679690" w14:textId="77777777" w:rsidR="00930414" w:rsidRDefault="00930414">
      <w:pPr>
        <w:widowControl w:val="0"/>
        <w:spacing w:after="0" w:line="240" w:lineRule="auto"/>
        <w:ind w:left="420"/>
        <w:jc w:val="both"/>
        <w:rPr>
          <w:rFonts w:ascii="Arial" w:eastAsia="Calibri" w:hAnsi="Arial" w:cs="Arial"/>
          <w:i/>
          <w:sz w:val="20"/>
        </w:rPr>
      </w:pPr>
    </w:p>
    <w:p w14:paraId="2107D24E" w14:textId="763140C7" w:rsidR="00930414" w:rsidRPr="00CA6930" w:rsidRDefault="00F54EB2">
      <w:pPr>
        <w:pStyle w:val="P68B1DB1-Normal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auto"/>
        </w:rPr>
      </w:pPr>
      <w:r w:rsidRPr="00CA6930">
        <w:rPr>
          <w:b/>
          <w:bCs/>
          <w:color w:val="auto"/>
        </w:rPr>
        <w:t xml:space="preserve">Projects must be submitted in parallel </w:t>
      </w:r>
      <w:r w:rsidRPr="00CA6930">
        <w:rPr>
          <w:b/>
          <w:bCs/>
          <w:color w:val="auto"/>
          <w:u w:val="single"/>
        </w:rPr>
        <w:t>to Inserm AND JSPS</w:t>
      </w:r>
      <w:r w:rsidRPr="00CA6930">
        <w:rPr>
          <w:b/>
          <w:bCs/>
          <w:color w:val="auto"/>
        </w:rPr>
        <w:t xml:space="preserve"> according to the respective procedures. Projects not </w:t>
      </w:r>
      <w:r w:rsidRPr="00CA6930">
        <w:rPr>
          <w:b/>
          <w:bCs/>
          <w:color w:val="auto"/>
          <w:u w:val="single"/>
        </w:rPr>
        <w:t>co-submitted to</w:t>
      </w:r>
      <w:r w:rsidRPr="00CA6930">
        <w:rPr>
          <w:b/>
          <w:bCs/>
          <w:color w:val="auto"/>
        </w:rPr>
        <w:t xml:space="preserve"> Inserm and JSPS will not be eligible. </w:t>
      </w:r>
    </w:p>
    <w:p w14:paraId="312B5CB1" w14:textId="678FBE93" w:rsidR="00930414" w:rsidRDefault="009304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0"/>
        </w:rPr>
      </w:pPr>
    </w:p>
    <w:p w14:paraId="108F0A29" w14:textId="79E9C925" w:rsidR="00930414" w:rsidRPr="00F539F0" w:rsidRDefault="00F54EB2">
      <w:pPr>
        <w:pStyle w:val="P68B1DB1-Normal8"/>
        <w:autoSpaceDE w:val="0"/>
        <w:autoSpaceDN w:val="0"/>
        <w:adjustRightInd w:val="0"/>
        <w:spacing w:after="0" w:line="240" w:lineRule="auto"/>
        <w:jc w:val="both"/>
      </w:pPr>
      <w:r>
        <w:t xml:space="preserve">We </w:t>
      </w:r>
      <w:r w:rsidRPr="00F539F0">
        <w:t xml:space="preserve">invite the Inserm teams to check that their Japanese counterparts co-submit their project to the same </w:t>
      </w:r>
      <w:r w:rsidR="00286349" w:rsidRPr="00F539F0">
        <w:t xml:space="preserve">call for proposals </w:t>
      </w:r>
      <w:r w:rsidRPr="00F539F0">
        <w:t>(i.e.: "Bilateral Joint Research Projects/Seminars JSPS/Inserm", not "</w:t>
      </w:r>
      <w:proofErr w:type="gramStart"/>
      <w:r w:rsidRPr="00F539F0">
        <w:t>Open  Partnership</w:t>
      </w:r>
      <w:proofErr w:type="gramEnd"/>
      <w:r w:rsidRPr="00F539F0">
        <w:t xml:space="preserve"> Joint Research Projects/Seminars"). Any application sent to the JSPS in response to another </w:t>
      </w:r>
      <w:r w:rsidR="00286349" w:rsidRPr="00F539F0">
        <w:t>call for proposals</w:t>
      </w:r>
      <w:r w:rsidRPr="00F539F0">
        <w:t xml:space="preserve"> will not be considered.</w:t>
      </w:r>
    </w:p>
    <w:p w14:paraId="4073C52E" w14:textId="77777777" w:rsidR="00930414" w:rsidRPr="00F539F0" w:rsidRDefault="009304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6DB9A45B" w14:textId="0BCCE0DD" w:rsidR="00930414" w:rsidRPr="00F539F0" w:rsidRDefault="00F54EB2">
      <w:pPr>
        <w:pStyle w:val="P68B1DB1-Normal8"/>
        <w:autoSpaceDE w:val="0"/>
        <w:autoSpaceDN w:val="0"/>
        <w:adjustRightInd w:val="0"/>
        <w:spacing w:after="0" w:line="240" w:lineRule="auto"/>
        <w:jc w:val="both"/>
      </w:pPr>
      <w:r w:rsidRPr="00F539F0">
        <w:t xml:space="preserve">To facilitate coordination between the Inserm teams and their Japanese partners, the following link describes the </w:t>
      </w:r>
      <w:r w:rsidRPr="00F539F0">
        <w:rPr>
          <w:b/>
        </w:rPr>
        <w:t>procedure to be followed on the JSPS side for your Japanese colleagues:</w:t>
      </w:r>
      <w:r w:rsidRPr="00F539F0">
        <w:t xml:space="preserve"> </w:t>
      </w:r>
    </w:p>
    <w:p w14:paraId="7578FD5D" w14:textId="2A0419D4" w:rsidR="00930414" w:rsidRPr="00F539F0" w:rsidRDefault="00F54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</w:rPr>
      </w:pPr>
      <w:hyperlink r:id="rId8" w:history="1">
        <w:r w:rsidRPr="00F539F0">
          <w:rPr>
            <w:rStyle w:val="Lienhypertexte"/>
            <w:rFonts w:ascii="Arial" w:eastAsia="Calibri" w:hAnsi="Arial" w:cs="Arial"/>
            <w:sz w:val="20"/>
          </w:rPr>
          <w:t>https://www.jsps.go.jp/english/e-bilat/call.html</w:t>
        </w:r>
      </w:hyperlink>
    </w:p>
    <w:p w14:paraId="1391E7C0" w14:textId="66362CA1" w:rsidR="00930414" w:rsidRPr="00F539F0" w:rsidRDefault="00F54EB2">
      <w:pPr>
        <w:pStyle w:val="P68B1DB1-Normal14"/>
        <w:autoSpaceDE w:val="0"/>
        <w:autoSpaceDN w:val="0"/>
        <w:adjustRightInd w:val="0"/>
        <w:spacing w:after="0" w:line="240" w:lineRule="auto"/>
        <w:jc w:val="both"/>
        <w:rPr>
          <w:highlight w:val="none"/>
        </w:rPr>
      </w:pPr>
      <w:r w:rsidRPr="00F539F0">
        <w:rPr>
          <w:highlight w:val="none"/>
        </w:rPr>
        <w:t xml:space="preserve">The following link (in Japanese) links to the Inserm/JSPS </w:t>
      </w:r>
      <w:proofErr w:type="spellStart"/>
      <w:r w:rsidRPr="00F539F0">
        <w:rPr>
          <w:highlight w:val="none"/>
        </w:rPr>
        <w:t>programme</w:t>
      </w:r>
      <w:proofErr w:type="spellEnd"/>
      <w:r w:rsidRPr="00F539F0">
        <w:rPr>
          <w:highlight w:val="none"/>
        </w:rPr>
        <w:t>:</w:t>
      </w:r>
    </w:p>
    <w:p w14:paraId="7FD69E65" w14:textId="405EF9F4" w:rsidR="00930414" w:rsidRDefault="00F54EB2">
      <w:pPr>
        <w:rPr>
          <w:rFonts w:ascii="Aptos" w:hAnsi="Aptos"/>
          <w:color w:val="000000"/>
        </w:rPr>
      </w:pPr>
      <w:hyperlink r:id="rId9" w:history="1">
        <w:r>
          <w:rPr>
            <w:rStyle w:val="Lienhypertexte"/>
            <w:rFonts w:ascii="Aptos" w:hAnsi="Aptos"/>
          </w:rPr>
          <w:t>https://www.jsps.go.jp/j-bilat/semina/shinsei_bosyu.html</w:t>
        </w:r>
      </w:hyperlink>
    </w:p>
    <w:p w14:paraId="759A1C99" w14:textId="2CF6C39D" w:rsidR="00930414" w:rsidRPr="004D10F1" w:rsidRDefault="00F54EB2">
      <w:pPr>
        <w:pStyle w:val="P68B1DB1-Normal8"/>
        <w:spacing w:after="0" w:line="240" w:lineRule="auto"/>
        <w:jc w:val="both"/>
        <w:rPr>
          <w:b/>
          <w:bCs/>
        </w:rPr>
      </w:pPr>
      <w:r w:rsidRPr="004D10F1">
        <w:rPr>
          <w:b/>
          <w:bCs/>
        </w:rPr>
        <w:t xml:space="preserve">Applications on the Inserm side must be submitted electronically to the </w:t>
      </w:r>
      <w:r w:rsidR="004D10F1" w:rsidRPr="004D10F1">
        <w:rPr>
          <w:b/>
          <w:bCs/>
        </w:rPr>
        <w:t>email address</w:t>
      </w:r>
      <w:r w:rsidRPr="004D10F1">
        <w:rPr>
          <w:b/>
          <w:bCs/>
        </w:rPr>
        <w:t xml:space="preserve"> mentioned </w:t>
      </w:r>
      <w:proofErr w:type="gramStart"/>
      <w:r w:rsidRPr="004D10F1">
        <w:rPr>
          <w:b/>
          <w:bCs/>
        </w:rPr>
        <w:t>below,</w:t>
      </w:r>
      <w:proofErr w:type="gramEnd"/>
      <w:r w:rsidRPr="004D10F1">
        <w:rPr>
          <w:b/>
          <w:bCs/>
        </w:rPr>
        <w:t xml:space="preserve"> by filling in the corresponding form attached to this document:   </w:t>
      </w:r>
    </w:p>
    <w:p w14:paraId="34482194" w14:textId="77777777" w:rsidR="00930414" w:rsidRDefault="00930414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4E3CF851" w14:textId="1426A304" w:rsidR="00930414" w:rsidRDefault="00286349">
      <w:pPr>
        <w:pStyle w:val="P68B1DB1-Normal8"/>
        <w:spacing w:after="0" w:line="240" w:lineRule="auto"/>
        <w:jc w:val="both"/>
      </w:pPr>
      <w:r>
        <w:t xml:space="preserve">Maria Eugenia Le </w:t>
      </w:r>
      <w:proofErr w:type="spellStart"/>
      <w:r>
        <w:t>Gourriérec</w:t>
      </w:r>
      <w:proofErr w:type="spellEnd"/>
      <w:r w:rsidR="00F54EB2">
        <w:t xml:space="preserve"> (M</w:t>
      </w:r>
      <w:r>
        <w:t>s</w:t>
      </w:r>
      <w:r w:rsidR="00F54EB2">
        <w:t>.)</w:t>
      </w:r>
    </w:p>
    <w:p w14:paraId="2B033627" w14:textId="63D5FB5C" w:rsidR="00930414" w:rsidRDefault="00F54EB2">
      <w:pPr>
        <w:pStyle w:val="P68B1DB1-Normal8"/>
        <w:spacing w:after="0" w:line="240" w:lineRule="auto"/>
        <w:jc w:val="both"/>
      </w:pPr>
      <w:r>
        <w:t>Asia-Oceania Policy Officer</w:t>
      </w:r>
    </w:p>
    <w:p w14:paraId="140F1531" w14:textId="5E2C752D" w:rsidR="00930414" w:rsidRDefault="00F54EB2">
      <w:pPr>
        <w:pStyle w:val="P68B1DB1-Normal8"/>
        <w:spacing w:after="0" w:line="240" w:lineRule="auto"/>
        <w:jc w:val="both"/>
      </w:pPr>
      <w:r>
        <w:t>Department of Partnerships and External Relations / International Relations Division</w:t>
      </w:r>
    </w:p>
    <w:p w14:paraId="21ACC382" w14:textId="7735B906" w:rsidR="00930414" w:rsidRPr="00633437" w:rsidRDefault="00AE6AE9" w:rsidP="00AE6AE9">
      <w:pPr>
        <w:spacing w:after="0" w:line="240" w:lineRule="auto"/>
        <w:jc w:val="both"/>
        <w:rPr>
          <w:rFonts w:ascii="Arial" w:eastAsia="Calibri" w:hAnsi="Arial" w:cs="Arial"/>
          <w:sz w:val="20"/>
        </w:rPr>
      </w:pPr>
      <w:proofErr w:type="spellStart"/>
      <w:r w:rsidRPr="003927E1">
        <w:rPr>
          <w:rFonts w:ascii="Arial" w:eastAsia="Calibri" w:hAnsi="Arial" w:cs="Arial"/>
          <w:sz w:val="20"/>
        </w:rPr>
        <w:t>Institut</w:t>
      </w:r>
      <w:proofErr w:type="spellEnd"/>
      <w:r w:rsidRPr="003927E1">
        <w:rPr>
          <w:rFonts w:ascii="Arial" w:eastAsia="Calibri" w:hAnsi="Arial" w:cs="Arial"/>
          <w:sz w:val="20"/>
        </w:rPr>
        <w:t xml:space="preserve"> National de la Santé et de la Recherche </w:t>
      </w:r>
      <w:proofErr w:type="spellStart"/>
      <w:r w:rsidRPr="003927E1">
        <w:rPr>
          <w:rFonts w:ascii="Arial" w:eastAsia="Calibri" w:hAnsi="Arial" w:cs="Arial"/>
          <w:sz w:val="20"/>
        </w:rPr>
        <w:t>Médicale</w:t>
      </w:r>
      <w:proofErr w:type="spellEnd"/>
      <w:r w:rsidRPr="003927E1">
        <w:rPr>
          <w:rFonts w:ascii="Arial" w:eastAsia="Calibri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t xml:space="preserve">/ </w:t>
      </w:r>
      <w:r w:rsidR="00F54EB2" w:rsidRPr="00633437">
        <w:rPr>
          <w:rFonts w:ascii="Arial" w:eastAsia="Calibri" w:hAnsi="Arial" w:cs="Arial"/>
          <w:sz w:val="20"/>
        </w:rPr>
        <w:t xml:space="preserve">National Institute of Health and Medical Research </w:t>
      </w:r>
      <w:r w:rsidR="00633437" w:rsidRPr="00633437">
        <w:rPr>
          <w:rFonts w:ascii="Arial" w:eastAsia="Calibri" w:hAnsi="Arial" w:cs="Arial"/>
          <w:sz w:val="20"/>
        </w:rPr>
        <w:t>of France</w:t>
      </w:r>
    </w:p>
    <w:p w14:paraId="101584D9" w14:textId="74B3CDAE" w:rsidR="00930414" w:rsidRDefault="00286349">
      <w:pPr>
        <w:spacing w:after="0" w:line="240" w:lineRule="auto"/>
        <w:jc w:val="both"/>
        <w:rPr>
          <w:rFonts w:ascii="Arial" w:eastAsia="Calibri" w:hAnsi="Arial" w:cs="Arial"/>
          <w:sz w:val="20"/>
          <w:u w:val="single"/>
        </w:rPr>
      </w:pPr>
      <w:hyperlink r:id="rId10" w:history="1">
        <w:r w:rsidRPr="00A43B99">
          <w:rPr>
            <w:rStyle w:val="Lienhypertexte"/>
            <w:rFonts w:ascii="Arial" w:eastAsia="Calibri" w:hAnsi="Arial" w:cs="Arial"/>
            <w:sz w:val="20"/>
          </w:rPr>
          <w:t>international.dpre@inserm.fr</w:t>
        </w:r>
      </w:hyperlink>
    </w:p>
    <w:p w14:paraId="5382D637" w14:textId="77777777" w:rsidR="00286349" w:rsidRDefault="00286349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24962737" w14:textId="77777777" w:rsidR="00930414" w:rsidRDefault="00F54EB2">
      <w:pPr>
        <w:pStyle w:val="P68B1DB1-Paragraphedeliste1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Results of the call and final report </w:t>
      </w:r>
    </w:p>
    <w:p w14:paraId="2F6B2D2B" w14:textId="77777777" w:rsidR="00930414" w:rsidRDefault="00930414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"/>
        <w:rPr>
          <w:rFonts w:ascii="Arial" w:eastAsia="Calibri" w:hAnsi="Arial" w:cs="Arial"/>
          <w:b/>
        </w:rPr>
      </w:pPr>
    </w:p>
    <w:p w14:paraId="3DB08956" w14:textId="386E8A3C" w:rsidR="00930414" w:rsidRDefault="00F54EB2">
      <w:pPr>
        <w:pStyle w:val="P68B1DB1-Normal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Results will be </w:t>
      </w:r>
      <w:r w:rsidRPr="00DD643F">
        <w:t xml:space="preserve">announced in </w:t>
      </w:r>
      <w:r w:rsidR="007C16E3" w:rsidRPr="00DD643F">
        <w:t>January 2027</w:t>
      </w:r>
      <w:r w:rsidR="00F17FD8" w:rsidRPr="00DD643F">
        <w:t>.</w:t>
      </w:r>
    </w:p>
    <w:p w14:paraId="25AC1FBA" w14:textId="05B09731" w:rsidR="00930414" w:rsidRDefault="00F54EB2">
      <w:pPr>
        <w:pStyle w:val="P68B1DB1-Normal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A final report will have to be delivered at the end of the seminar.</w:t>
      </w:r>
    </w:p>
    <w:sectPr w:rsidR="0093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043D"/>
    <w:multiLevelType w:val="hybridMultilevel"/>
    <w:tmpl w:val="ECB2FF54"/>
    <w:lvl w:ilvl="0" w:tplc="4078BA92">
      <w:start w:val="2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E6551E"/>
    <w:multiLevelType w:val="hybridMultilevel"/>
    <w:tmpl w:val="F6AEF354"/>
    <w:lvl w:ilvl="0" w:tplc="354AE658">
      <w:start w:val="1"/>
      <w:numFmt w:val="bullet"/>
      <w:lvlText w:val="-"/>
      <w:lvlJc w:val="left"/>
      <w:pPr>
        <w:ind w:left="840" w:hanging="420"/>
      </w:pPr>
      <w:rPr>
        <w:rFonts w:ascii="MS PMincho" w:eastAsia="MS PMincho" w:hAnsi="MS PMincho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F227FC8"/>
    <w:multiLevelType w:val="hybridMultilevel"/>
    <w:tmpl w:val="4120B9F2"/>
    <w:lvl w:ilvl="0" w:tplc="932A5F62">
      <w:start w:val="1"/>
      <w:numFmt w:val="decimal"/>
      <w:lvlText w:val="%1."/>
      <w:lvlJc w:val="left"/>
      <w:pPr>
        <w:ind w:left="420" w:hanging="420"/>
      </w:pPr>
      <w:rPr>
        <w:b/>
        <w:i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BC67BB"/>
    <w:multiLevelType w:val="hybridMultilevel"/>
    <w:tmpl w:val="4FAABF38"/>
    <w:lvl w:ilvl="0" w:tplc="B464080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532A1"/>
    <w:multiLevelType w:val="hybridMultilevel"/>
    <w:tmpl w:val="A9E07298"/>
    <w:lvl w:ilvl="0" w:tplc="89A857F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13227"/>
    <w:multiLevelType w:val="hybridMultilevel"/>
    <w:tmpl w:val="DB74891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>
      <w:start w:val="1"/>
      <w:numFmt w:val="lowerLetter"/>
      <w:lvlText w:val="%2."/>
      <w:lvlJc w:val="left"/>
      <w:pPr>
        <w:ind w:left="1724" w:hanging="360"/>
      </w:pPr>
    </w:lvl>
    <w:lvl w:ilvl="2" w:tplc="040C001B">
      <w:start w:val="1"/>
      <w:numFmt w:val="lowerRoman"/>
      <w:lvlText w:val="%3."/>
      <w:lvlJc w:val="right"/>
      <w:pPr>
        <w:ind w:left="2444" w:hanging="180"/>
      </w:pPr>
    </w:lvl>
    <w:lvl w:ilvl="3" w:tplc="040C000F">
      <w:start w:val="1"/>
      <w:numFmt w:val="decimal"/>
      <w:lvlText w:val="%4."/>
      <w:lvlJc w:val="left"/>
      <w:pPr>
        <w:ind w:left="3164" w:hanging="360"/>
      </w:pPr>
    </w:lvl>
    <w:lvl w:ilvl="4" w:tplc="040C0019">
      <w:start w:val="1"/>
      <w:numFmt w:val="lowerLetter"/>
      <w:lvlText w:val="%5."/>
      <w:lvlJc w:val="left"/>
      <w:pPr>
        <w:ind w:left="3884" w:hanging="360"/>
      </w:pPr>
    </w:lvl>
    <w:lvl w:ilvl="5" w:tplc="040C001B">
      <w:start w:val="1"/>
      <w:numFmt w:val="lowerRoman"/>
      <w:lvlText w:val="%6."/>
      <w:lvlJc w:val="right"/>
      <w:pPr>
        <w:ind w:left="4604" w:hanging="180"/>
      </w:pPr>
    </w:lvl>
    <w:lvl w:ilvl="6" w:tplc="040C000F">
      <w:start w:val="1"/>
      <w:numFmt w:val="decimal"/>
      <w:lvlText w:val="%7."/>
      <w:lvlJc w:val="left"/>
      <w:pPr>
        <w:ind w:left="5324" w:hanging="360"/>
      </w:pPr>
    </w:lvl>
    <w:lvl w:ilvl="7" w:tplc="040C0019">
      <w:start w:val="1"/>
      <w:numFmt w:val="lowerLetter"/>
      <w:lvlText w:val="%8."/>
      <w:lvlJc w:val="left"/>
      <w:pPr>
        <w:ind w:left="6044" w:hanging="360"/>
      </w:pPr>
    </w:lvl>
    <w:lvl w:ilvl="8" w:tplc="040C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93407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336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971143">
    <w:abstractNumId w:val="1"/>
  </w:num>
  <w:num w:numId="4" w16cid:durableId="714429004">
    <w:abstractNumId w:val="4"/>
  </w:num>
  <w:num w:numId="5" w16cid:durableId="507521726">
    <w:abstractNumId w:val="0"/>
  </w:num>
  <w:num w:numId="6" w16cid:durableId="8219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C1"/>
    <w:rsid w:val="000030E9"/>
    <w:rsid w:val="00003913"/>
    <w:rsid w:val="00004184"/>
    <w:rsid w:val="00013D79"/>
    <w:rsid w:val="000249AD"/>
    <w:rsid w:val="00027954"/>
    <w:rsid w:val="000334A5"/>
    <w:rsid w:val="00037E91"/>
    <w:rsid w:val="00044330"/>
    <w:rsid w:val="000538E6"/>
    <w:rsid w:val="00060412"/>
    <w:rsid w:val="0008483D"/>
    <w:rsid w:val="0009700B"/>
    <w:rsid w:val="000B4DB3"/>
    <w:rsid w:val="000C7387"/>
    <w:rsid w:val="000D2904"/>
    <w:rsid w:val="000D54B7"/>
    <w:rsid w:val="000E4E31"/>
    <w:rsid w:val="000E73F9"/>
    <w:rsid w:val="001036AB"/>
    <w:rsid w:val="00125758"/>
    <w:rsid w:val="00131EDE"/>
    <w:rsid w:val="00160863"/>
    <w:rsid w:val="00166518"/>
    <w:rsid w:val="001756D7"/>
    <w:rsid w:val="001841DF"/>
    <w:rsid w:val="00184EC6"/>
    <w:rsid w:val="001910E9"/>
    <w:rsid w:val="001A607F"/>
    <w:rsid w:val="001C38F9"/>
    <w:rsid w:val="001C73AC"/>
    <w:rsid w:val="001D7501"/>
    <w:rsid w:val="001E42A0"/>
    <w:rsid w:val="001F66C8"/>
    <w:rsid w:val="001F7644"/>
    <w:rsid w:val="002042B9"/>
    <w:rsid w:val="002054DF"/>
    <w:rsid w:val="00206A50"/>
    <w:rsid w:val="00213BAD"/>
    <w:rsid w:val="0027250C"/>
    <w:rsid w:val="0027718C"/>
    <w:rsid w:val="002817DC"/>
    <w:rsid w:val="00284E28"/>
    <w:rsid w:val="00286349"/>
    <w:rsid w:val="00286C45"/>
    <w:rsid w:val="00292D92"/>
    <w:rsid w:val="002977E4"/>
    <w:rsid w:val="002A0DA6"/>
    <w:rsid w:val="002C14D8"/>
    <w:rsid w:val="002F77C1"/>
    <w:rsid w:val="00300A06"/>
    <w:rsid w:val="00302F1F"/>
    <w:rsid w:val="00303D14"/>
    <w:rsid w:val="003205A2"/>
    <w:rsid w:val="003458BC"/>
    <w:rsid w:val="00375D6C"/>
    <w:rsid w:val="003927E1"/>
    <w:rsid w:val="003A1300"/>
    <w:rsid w:val="003A322A"/>
    <w:rsid w:val="003B1AED"/>
    <w:rsid w:val="003C4163"/>
    <w:rsid w:val="00404B8F"/>
    <w:rsid w:val="0043198E"/>
    <w:rsid w:val="00443A80"/>
    <w:rsid w:val="004446DD"/>
    <w:rsid w:val="004448C3"/>
    <w:rsid w:val="00447FE2"/>
    <w:rsid w:val="00451858"/>
    <w:rsid w:val="0045784E"/>
    <w:rsid w:val="00473D4C"/>
    <w:rsid w:val="004A2713"/>
    <w:rsid w:val="004A4A97"/>
    <w:rsid w:val="004B2D80"/>
    <w:rsid w:val="004B381F"/>
    <w:rsid w:val="004B448D"/>
    <w:rsid w:val="004B6F5D"/>
    <w:rsid w:val="004B732F"/>
    <w:rsid w:val="004D10F1"/>
    <w:rsid w:val="004D3F84"/>
    <w:rsid w:val="004E278C"/>
    <w:rsid w:val="005016AD"/>
    <w:rsid w:val="005344E2"/>
    <w:rsid w:val="00544F29"/>
    <w:rsid w:val="00577D17"/>
    <w:rsid w:val="0059640D"/>
    <w:rsid w:val="005C425E"/>
    <w:rsid w:val="005D2303"/>
    <w:rsid w:val="005E30E9"/>
    <w:rsid w:val="005E66E8"/>
    <w:rsid w:val="005F634E"/>
    <w:rsid w:val="006024DF"/>
    <w:rsid w:val="00604748"/>
    <w:rsid w:val="00633437"/>
    <w:rsid w:val="00633526"/>
    <w:rsid w:val="00664F95"/>
    <w:rsid w:val="00690D8F"/>
    <w:rsid w:val="006A4B87"/>
    <w:rsid w:val="006A7D97"/>
    <w:rsid w:val="006C1815"/>
    <w:rsid w:val="006C2DEA"/>
    <w:rsid w:val="006E0320"/>
    <w:rsid w:val="006F3477"/>
    <w:rsid w:val="00702613"/>
    <w:rsid w:val="00703829"/>
    <w:rsid w:val="007069C8"/>
    <w:rsid w:val="0071391F"/>
    <w:rsid w:val="007221A0"/>
    <w:rsid w:val="00742074"/>
    <w:rsid w:val="00767D67"/>
    <w:rsid w:val="00770525"/>
    <w:rsid w:val="007747A6"/>
    <w:rsid w:val="00777C20"/>
    <w:rsid w:val="00785CB9"/>
    <w:rsid w:val="007942F8"/>
    <w:rsid w:val="007A40EF"/>
    <w:rsid w:val="007B2167"/>
    <w:rsid w:val="007C11B5"/>
    <w:rsid w:val="007C16E3"/>
    <w:rsid w:val="007D5A18"/>
    <w:rsid w:val="007F015C"/>
    <w:rsid w:val="007F0A5F"/>
    <w:rsid w:val="00800202"/>
    <w:rsid w:val="0080123A"/>
    <w:rsid w:val="00802B13"/>
    <w:rsid w:val="0081715C"/>
    <w:rsid w:val="0082670E"/>
    <w:rsid w:val="008327E3"/>
    <w:rsid w:val="00836010"/>
    <w:rsid w:val="00837767"/>
    <w:rsid w:val="008504A1"/>
    <w:rsid w:val="008542D7"/>
    <w:rsid w:val="00863497"/>
    <w:rsid w:val="0086448F"/>
    <w:rsid w:val="008813CA"/>
    <w:rsid w:val="00893168"/>
    <w:rsid w:val="008B05EE"/>
    <w:rsid w:val="008B4C2D"/>
    <w:rsid w:val="008C0E16"/>
    <w:rsid w:val="008C56D5"/>
    <w:rsid w:val="008D77B6"/>
    <w:rsid w:val="008F0989"/>
    <w:rsid w:val="008F39A4"/>
    <w:rsid w:val="008F709B"/>
    <w:rsid w:val="00911FC4"/>
    <w:rsid w:val="00926070"/>
    <w:rsid w:val="009302F4"/>
    <w:rsid w:val="00930414"/>
    <w:rsid w:val="00970D90"/>
    <w:rsid w:val="00973371"/>
    <w:rsid w:val="0097757E"/>
    <w:rsid w:val="009A2963"/>
    <w:rsid w:val="009A75D5"/>
    <w:rsid w:val="009A78E5"/>
    <w:rsid w:val="009C01DB"/>
    <w:rsid w:val="009D610E"/>
    <w:rsid w:val="009F7208"/>
    <w:rsid w:val="00A35FCC"/>
    <w:rsid w:val="00A452EC"/>
    <w:rsid w:val="00A657A0"/>
    <w:rsid w:val="00A67EAA"/>
    <w:rsid w:val="00A716E5"/>
    <w:rsid w:val="00A874BB"/>
    <w:rsid w:val="00A966D3"/>
    <w:rsid w:val="00AA0557"/>
    <w:rsid w:val="00AD0DEB"/>
    <w:rsid w:val="00AD25D9"/>
    <w:rsid w:val="00AE11D8"/>
    <w:rsid w:val="00AE2B76"/>
    <w:rsid w:val="00AE6791"/>
    <w:rsid w:val="00AE6AE9"/>
    <w:rsid w:val="00AF67D3"/>
    <w:rsid w:val="00B00C90"/>
    <w:rsid w:val="00B017E5"/>
    <w:rsid w:val="00B334B2"/>
    <w:rsid w:val="00B73586"/>
    <w:rsid w:val="00B863FF"/>
    <w:rsid w:val="00B92CD6"/>
    <w:rsid w:val="00C0079C"/>
    <w:rsid w:val="00C02F41"/>
    <w:rsid w:val="00C05757"/>
    <w:rsid w:val="00C12D64"/>
    <w:rsid w:val="00C23523"/>
    <w:rsid w:val="00C3738C"/>
    <w:rsid w:val="00C44B72"/>
    <w:rsid w:val="00C468BD"/>
    <w:rsid w:val="00C86652"/>
    <w:rsid w:val="00C9147E"/>
    <w:rsid w:val="00C91F5E"/>
    <w:rsid w:val="00C96E70"/>
    <w:rsid w:val="00C973A5"/>
    <w:rsid w:val="00CA529F"/>
    <w:rsid w:val="00CA6930"/>
    <w:rsid w:val="00CB2769"/>
    <w:rsid w:val="00CB6079"/>
    <w:rsid w:val="00CD031A"/>
    <w:rsid w:val="00CE78EB"/>
    <w:rsid w:val="00CF463E"/>
    <w:rsid w:val="00D11F4B"/>
    <w:rsid w:val="00D251F3"/>
    <w:rsid w:val="00D31661"/>
    <w:rsid w:val="00D401D9"/>
    <w:rsid w:val="00D84ED4"/>
    <w:rsid w:val="00D9408D"/>
    <w:rsid w:val="00DC11D4"/>
    <w:rsid w:val="00DD2529"/>
    <w:rsid w:val="00DD643F"/>
    <w:rsid w:val="00DE26A2"/>
    <w:rsid w:val="00DF53A6"/>
    <w:rsid w:val="00E17185"/>
    <w:rsid w:val="00E30904"/>
    <w:rsid w:val="00E33720"/>
    <w:rsid w:val="00E42774"/>
    <w:rsid w:val="00E465A4"/>
    <w:rsid w:val="00EE492D"/>
    <w:rsid w:val="00EE5EAA"/>
    <w:rsid w:val="00F04C54"/>
    <w:rsid w:val="00F10903"/>
    <w:rsid w:val="00F17FD8"/>
    <w:rsid w:val="00F32044"/>
    <w:rsid w:val="00F37A95"/>
    <w:rsid w:val="00F539F0"/>
    <w:rsid w:val="00F54EB2"/>
    <w:rsid w:val="00F64375"/>
    <w:rsid w:val="00F71512"/>
    <w:rsid w:val="00F76DF9"/>
    <w:rsid w:val="00F813C3"/>
    <w:rsid w:val="00F86B60"/>
    <w:rsid w:val="00FB2F0B"/>
    <w:rsid w:val="00FC4E16"/>
    <w:rsid w:val="00FE1A64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5DB88FEA"/>
  <w15:chartTrackingRefBased/>
  <w15:docId w15:val="{4777365C-7253-455F-A5F9-56E9122B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" w:eastAsia="fr-FR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77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77C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77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7D17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D17"/>
    <w:rPr>
      <w:rFonts w:ascii="Segoe UI" w:hAnsi="Segoe UI" w:cs="Segoe UI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042B9"/>
    <w:rPr>
      <w:sz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42B9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42B9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42B9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42B9"/>
    <w:rPr>
      <w:b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0123A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1FC4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Arial" w:eastAsia="Calibri" w:hAnsi="Arial" w:cs="Arial"/>
    </w:rPr>
  </w:style>
  <w:style w:type="paragraph" w:customStyle="1" w:styleId="P68B1DB1-Normal2">
    <w:name w:val="P68B1DB1-Normal2"/>
    <w:basedOn w:val="Normal"/>
    <w:rPr>
      <w:rFonts w:ascii="Arial" w:eastAsia="Calibri" w:hAnsi="Arial" w:cs="Arial"/>
      <w:b/>
    </w:rPr>
  </w:style>
  <w:style w:type="paragraph" w:customStyle="1" w:styleId="P68B1DB1-Normal3">
    <w:name w:val="P68B1DB1-Normal3"/>
    <w:basedOn w:val="Normal"/>
    <w:rPr>
      <w:rFonts w:ascii="Arial" w:eastAsia="Calibri" w:hAnsi="Arial" w:cs="Arial"/>
      <w:b/>
      <w:color w:val="FF0000"/>
      <w:highlight w:val="yellow"/>
    </w:rPr>
  </w:style>
  <w:style w:type="paragraph" w:customStyle="1" w:styleId="P68B1DB1-Normal4">
    <w:name w:val="P68B1DB1-Normal4"/>
    <w:basedOn w:val="Normal"/>
    <w:rPr>
      <w:rFonts w:ascii="Arial" w:hAnsi="Arial" w:cs="Arial"/>
      <w:b/>
      <w:color w:val="FF0000"/>
      <w:highlight w:val="yellow"/>
      <w:u w:val="single"/>
    </w:rPr>
  </w:style>
  <w:style w:type="paragraph" w:customStyle="1" w:styleId="P68B1DB1-Normal5">
    <w:name w:val="P68B1DB1-Normal5"/>
    <w:basedOn w:val="Normal"/>
    <w:rPr>
      <w:rFonts w:ascii="Arial" w:eastAsia="Times New Roman" w:hAnsi="Arial" w:cs="Arial"/>
      <w:sz w:val="20"/>
    </w:rPr>
  </w:style>
  <w:style w:type="paragraph" w:customStyle="1" w:styleId="P68B1DB1-Normal6">
    <w:name w:val="P68B1DB1-Normal6"/>
    <w:basedOn w:val="Normal"/>
    <w:rPr>
      <w:sz w:val="20"/>
    </w:rPr>
  </w:style>
  <w:style w:type="paragraph" w:customStyle="1" w:styleId="P68B1DB1-Normal7">
    <w:name w:val="P68B1DB1-Normal7"/>
    <w:basedOn w:val="Normal"/>
    <w:rPr>
      <w:rFonts w:ascii="Arial" w:eastAsia="Calibri" w:hAnsi="Arial" w:cs="Arial"/>
      <w:b/>
      <w:i/>
      <w:sz w:val="20"/>
    </w:rPr>
  </w:style>
  <w:style w:type="paragraph" w:customStyle="1" w:styleId="P68B1DB1-Normal8">
    <w:name w:val="P68B1DB1-Normal8"/>
    <w:basedOn w:val="Normal"/>
    <w:rPr>
      <w:rFonts w:ascii="Arial" w:eastAsia="Calibri" w:hAnsi="Arial" w:cs="Arial"/>
      <w:sz w:val="20"/>
    </w:rPr>
  </w:style>
  <w:style w:type="paragraph" w:customStyle="1" w:styleId="P68B1DB1-Normal9">
    <w:name w:val="P68B1DB1-Normal9"/>
    <w:basedOn w:val="Normal"/>
    <w:rPr>
      <w:rFonts w:ascii="Arial" w:hAnsi="Arial" w:cs="Arial"/>
      <w:sz w:val="20"/>
    </w:rPr>
  </w:style>
  <w:style w:type="paragraph" w:customStyle="1" w:styleId="P68B1DB1-Normal10">
    <w:name w:val="P68B1DB1-Normal10"/>
    <w:basedOn w:val="Normal"/>
    <w:rPr>
      <w:rFonts w:ascii="Arial" w:eastAsia="Arial Unicode MS" w:hAnsi="Arial" w:cs="Arial"/>
      <w:sz w:val="20"/>
    </w:rPr>
  </w:style>
  <w:style w:type="paragraph" w:customStyle="1" w:styleId="P68B1DB1-Normal11">
    <w:name w:val="P68B1DB1-Normal11"/>
    <w:basedOn w:val="Normal"/>
    <w:rPr>
      <w:rFonts w:ascii="Arial" w:eastAsia="Calibri" w:hAnsi="Arial" w:cs="Arial"/>
      <w:color w:val="FF0000"/>
      <w:sz w:val="20"/>
      <w:highlight w:val="yellow"/>
    </w:rPr>
  </w:style>
  <w:style w:type="paragraph" w:customStyle="1" w:styleId="P68B1DB1-Normal12">
    <w:name w:val="P68B1DB1-Normal12"/>
    <w:basedOn w:val="Normal"/>
    <w:rPr>
      <w:rFonts w:ascii="Arial" w:eastAsia="SimSun" w:hAnsi="Arial" w:cs="Arial"/>
      <w:sz w:val="20"/>
    </w:rPr>
  </w:style>
  <w:style w:type="paragraph" w:customStyle="1" w:styleId="P68B1DB1-Normal13">
    <w:name w:val="P68B1DB1-Normal13"/>
    <w:basedOn w:val="Normal"/>
    <w:rPr>
      <w:rFonts w:ascii="Arial" w:eastAsia="Calibri" w:hAnsi="Arial" w:cs="Arial"/>
      <w:color w:val="FF0000"/>
      <w:sz w:val="20"/>
    </w:rPr>
  </w:style>
  <w:style w:type="paragraph" w:customStyle="1" w:styleId="P68B1DB1-Normal14">
    <w:name w:val="P68B1DB1-Normal14"/>
    <w:basedOn w:val="Normal"/>
    <w:rPr>
      <w:rFonts w:ascii="Arial" w:eastAsia="Calibri" w:hAnsi="Arial" w:cs="Arial"/>
      <w:sz w:val="20"/>
      <w:highlight w:val="yellow"/>
    </w:rPr>
  </w:style>
  <w:style w:type="paragraph" w:customStyle="1" w:styleId="P68B1DB1-Normal15">
    <w:name w:val="P68B1DB1-Normal15"/>
    <w:basedOn w:val="Normal"/>
    <w:rPr>
      <w:rFonts w:ascii="Arial" w:eastAsia="Calibri" w:hAnsi="Arial" w:cs="Arial"/>
      <w:sz w:val="20"/>
      <w:u w:val="single"/>
    </w:rPr>
  </w:style>
  <w:style w:type="paragraph" w:customStyle="1" w:styleId="P68B1DB1-Paragraphedeliste16">
    <w:name w:val="P68B1DB1-Paragraphedeliste16"/>
    <w:basedOn w:val="Paragraphedeliste"/>
    <w:rPr>
      <w:rFonts w:ascii="Arial" w:eastAsia="Calibri" w:hAnsi="Arial" w:cs="Arial"/>
      <w:b/>
      <w:i/>
      <w:sz w:val="20"/>
    </w:rPr>
  </w:style>
  <w:style w:type="paragraph" w:styleId="Rvision">
    <w:name w:val="Revision"/>
    <w:hidden/>
    <w:uiPriority w:val="99"/>
    <w:semiHidden/>
    <w:rsid w:val="00F539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ps.go.jp/english/e-bilat/call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ternational.dpre@inserm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sps.go.jp/j-bilat/semina/shinsei_bosyu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475E-A2B2-4EEA-BC45-69B56F69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Vizy;Hugues Boiteau</dc:creator>
  <cp:keywords/>
  <dc:description/>
  <cp:lastModifiedBy>Maria-Eugenia LE-GOURRIEREC</cp:lastModifiedBy>
  <cp:revision>3</cp:revision>
  <cp:lastPrinted>2022-06-09T09:47:00Z</cp:lastPrinted>
  <dcterms:created xsi:type="dcterms:W3CDTF">2026-05-27T08:37:00Z</dcterms:created>
  <dcterms:modified xsi:type="dcterms:W3CDTF">2026-05-27T08:51:00Z</dcterms:modified>
</cp:coreProperties>
</file>